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C248" w14:textId="77777777" w:rsidR="00A674C7" w:rsidRPr="00D55E87" w:rsidRDefault="0067690B" w:rsidP="00BA1EF7">
      <w:pPr>
        <w:pStyle w:val="Standard"/>
        <w:spacing w:before="100" w:beforeAutospacing="1" w:after="100" w:afterAutospacing="1" w:line="360" w:lineRule="auto"/>
        <w:contextualSpacing/>
        <w:jc w:val="center"/>
        <w:rPr>
          <w:rFonts w:ascii="Arial" w:hAnsi="Arial" w:cs="Arial"/>
          <w:b/>
          <w:bCs/>
          <w:sz w:val="44"/>
          <w:szCs w:val="44"/>
          <w:u w:val="single"/>
        </w:rPr>
      </w:pPr>
      <w:r w:rsidRPr="00D55E87">
        <w:rPr>
          <w:rFonts w:ascii="Arial" w:hAnsi="Arial" w:cs="Arial"/>
          <w:b/>
          <w:bCs/>
          <w:sz w:val="44"/>
          <w:szCs w:val="44"/>
          <w:u w:val="single"/>
        </w:rPr>
        <w:t>Why has the Rule of Law become so fragile?</w:t>
      </w:r>
    </w:p>
    <w:p w14:paraId="6D82BBA0" w14:textId="70EE835B" w:rsidR="00F747BD" w:rsidRPr="00D55E87" w:rsidRDefault="00F747BD" w:rsidP="00F747BD">
      <w:pPr>
        <w:pStyle w:val="Standard"/>
        <w:spacing w:before="100" w:beforeAutospacing="1" w:after="100" w:afterAutospacing="1" w:line="360" w:lineRule="auto"/>
        <w:contextualSpacing/>
        <w:jc w:val="center"/>
        <w:rPr>
          <w:rFonts w:ascii="Arial" w:hAnsi="Arial" w:cs="Arial"/>
        </w:rPr>
      </w:pPr>
      <w:r w:rsidRPr="00D55E87">
        <w:rPr>
          <w:rFonts w:ascii="Arial" w:hAnsi="Arial" w:cs="Arial"/>
        </w:rPr>
        <w:t>Alex May – January 2023</w:t>
      </w:r>
    </w:p>
    <w:p w14:paraId="46C15EA2" w14:textId="77777777" w:rsidR="00F747BD" w:rsidRPr="00D55E87" w:rsidRDefault="00F747BD" w:rsidP="00F747BD">
      <w:pPr>
        <w:pStyle w:val="Standard"/>
        <w:spacing w:before="100" w:beforeAutospacing="1" w:after="100" w:afterAutospacing="1" w:line="360" w:lineRule="auto"/>
        <w:contextualSpacing/>
        <w:rPr>
          <w:rFonts w:ascii="Arial" w:hAnsi="Arial" w:cs="Arial"/>
        </w:rPr>
      </w:pPr>
    </w:p>
    <w:p w14:paraId="72ABDBC7" w14:textId="4176C5B1" w:rsidR="001E0A92" w:rsidRPr="00D55E87" w:rsidRDefault="00F747BD" w:rsidP="001E0A92">
      <w:pPr>
        <w:pStyle w:val="Standard"/>
        <w:spacing w:before="100" w:beforeAutospacing="1" w:after="100" w:afterAutospacing="1" w:line="360" w:lineRule="auto"/>
        <w:contextualSpacing/>
        <w:rPr>
          <w:rFonts w:ascii="Arial" w:hAnsi="Arial" w:cs="Arial"/>
        </w:rPr>
      </w:pPr>
      <w:r w:rsidRPr="00D55E87">
        <w:rPr>
          <w:rFonts w:ascii="Arial" w:hAnsi="Arial" w:cs="Arial"/>
          <w:i/>
          <w:iCs/>
        </w:rPr>
        <w:t>This article was my submission to the 2022 Nine Dots Prize, which required a response to the set question (Why has the Rule of Law become so fragile?</w:t>
      </w:r>
      <w:r w:rsidR="001E0A92" w:rsidRPr="00D55E87">
        <w:rPr>
          <w:rFonts w:ascii="Arial" w:hAnsi="Arial" w:cs="Arial"/>
          <w:i/>
          <w:iCs/>
        </w:rPr>
        <w:t xml:space="preserve">) of </w:t>
      </w:r>
      <w:r w:rsidRPr="00D55E87">
        <w:rPr>
          <w:rFonts w:ascii="Arial" w:hAnsi="Arial" w:cs="Arial"/>
          <w:i/>
          <w:iCs/>
        </w:rPr>
        <w:t>no</w:t>
      </w:r>
      <w:r w:rsidR="001E0A92" w:rsidRPr="00D55E87">
        <w:rPr>
          <w:rFonts w:ascii="Arial" w:hAnsi="Arial" w:cs="Arial"/>
          <w:i/>
          <w:iCs/>
        </w:rPr>
        <w:t xml:space="preserve"> </w:t>
      </w:r>
      <w:r w:rsidRPr="00D55E87">
        <w:rPr>
          <w:rFonts w:ascii="Arial" w:hAnsi="Arial" w:cs="Arial"/>
          <w:i/>
          <w:iCs/>
        </w:rPr>
        <w:t>more than 3,000 words in length</w:t>
      </w:r>
      <w:r w:rsidR="001E0A92" w:rsidRPr="00D55E87">
        <w:rPr>
          <w:rFonts w:ascii="Arial" w:hAnsi="Arial" w:cs="Arial"/>
          <w:i/>
          <w:iCs/>
        </w:rPr>
        <w:t xml:space="preserve"> and an outline structure for a book of no more than 1,000 words. </w:t>
      </w:r>
    </w:p>
    <w:p w14:paraId="21C0FE1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03E169FE"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36"/>
          <w:szCs w:val="36"/>
          <w:u w:val="single"/>
        </w:rPr>
      </w:pPr>
      <w:r w:rsidRPr="00D55E87">
        <w:rPr>
          <w:rFonts w:ascii="Arial" w:hAnsi="Arial" w:cs="Arial"/>
          <w:b/>
          <w:bCs/>
          <w:sz w:val="36"/>
          <w:szCs w:val="36"/>
          <w:u w:val="single"/>
        </w:rPr>
        <w:t>Introduction</w:t>
      </w:r>
    </w:p>
    <w:p w14:paraId="79ABE560"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D836E9E" w14:textId="056D7C69"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Liberal Democracy is besieged by political attacks from far-right political movements and unchained corporate power. Within this context, understanding Law</w:t>
      </w:r>
      <w:r w:rsidRPr="00D55E87">
        <w:rPr>
          <w:rStyle w:val="FootnoteReference"/>
          <w:rFonts w:ascii="Arial" w:hAnsi="Arial" w:cs="Arial"/>
        </w:rPr>
        <w:footnoteReference w:id="1"/>
      </w:r>
      <w:r w:rsidRPr="00D55E87">
        <w:rPr>
          <w:rFonts w:ascii="Arial" w:hAnsi="Arial" w:cs="Arial"/>
        </w:rPr>
        <w:t xml:space="preserve"> as reproducing the social order is key to </w:t>
      </w:r>
      <w:r w:rsidR="00337ADC" w:rsidRPr="00D55E87">
        <w:rPr>
          <w:rFonts w:ascii="Arial" w:hAnsi="Arial" w:cs="Arial"/>
        </w:rPr>
        <w:t>analysing</w:t>
      </w:r>
      <w:r w:rsidRPr="00D55E87">
        <w:rPr>
          <w:rFonts w:ascii="Arial" w:hAnsi="Arial" w:cs="Arial"/>
        </w:rPr>
        <w:t xml:space="preserve"> the current fragility of the Rule of Law: the legal system is not under attack because the Rule of Law is inherently good but because of the </w:t>
      </w:r>
      <w:proofErr w:type="gramStart"/>
      <w:r w:rsidRPr="00D55E87">
        <w:rPr>
          <w:rFonts w:ascii="Arial" w:hAnsi="Arial" w:cs="Arial"/>
        </w:rPr>
        <w:t>particular legal</w:t>
      </w:r>
      <w:proofErr w:type="gramEnd"/>
      <w:r w:rsidRPr="00D55E87">
        <w:rPr>
          <w:rFonts w:ascii="Arial" w:hAnsi="Arial" w:cs="Arial"/>
        </w:rPr>
        <w:t xml:space="preserve"> norms which it is currently reproducing.</w:t>
      </w:r>
    </w:p>
    <w:p w14:paraId="46378E19"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8B2B7B0" w14:textId="0B0279C1" w:rsidR="002106D1" w:rsidRPr="00D55E87" w:rsidRDefault="002B7B31"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Answering </w:t>
      </w:r>
      <w:r w:rsidR="00993776" w:rsidRPr="00D55E87">
        <w:rPr>
          <w:rFonts w:ascii="Arial" w:hAnsi="Arial" w:cs="Arial"/>
        </w:rPr>
        <w:t>the</w:t>
      </w:r>
      <w:r w:rsidRPr="00D55E87">
        <w:rPr>
          <w:rFonts w:ascii="Arial" w:hAnsi="Arial" w:cs="Arial"/>
        </w:rPr>
        <w:t xml:space="preserve"> </w:t>
      </w:r>
      <w:r w:rsidR="00993776" w:rsidRPr="00D55E87">
        <w:rPr>
          <w:rFonts w:ascii="Arial" w:hAnsi="Arial" w:cs="Arial"/>
        </w:rPr>
        <w:t xml:space="preserve">prize question </w:t>
      </w:r>
      <w:r w:rsidRPr="00D55E87">
        <w:rPr>
          <w:rFonts w:ascii="Arial" w:hAnsi="Arial" w:cs="Arial"/>
        </w:rPr>
        <w:t xml:space="preserve">requires </w:t>
      </w:r>
      <w:r w:rsidR="00993776" w:rsidRPr="00D55E87">
        <w:rPr>
          <w:rFonts w:ascii="Arial" w:hAnsi="Arial" w:cs="Arial"/>
        </w:rPr>
        <w:t xml:space="preserve">both </w:t>
      </w:r>
      <w:r w:rsidR="00C248D4" w:rsidRPr="00D55E87">
        <w:rPr>
          <w:rFonts w:ascii="Arial" w:hAnsi="Arial" w:cs="Arial"/>
        </w:rPr>
        <w:t>legal theory and political analysis</w:t>
      </w:r>
      <w:r w:rsidR="005305B1" w:rsidRPr="00D55E87">
        <w:rPr>
          <w:rFonts w:ascii="Arial" w:hAnsi="Arial" w:cs="Arial"/>
        </w:rPr>
        <w:t xml:space="preserve">. </w:t>
      </w:r>
      <w:r w:rsidR="00201366" w:rsidRPr="00D55E87">
        <w:rPr>
          <w:rFonts w:ascii="Arial" w:hAnsi="Arial" w:cs="Arial"/>
        </w:rPr>
        <w:t xml:space="preserve">This essay </w:t>
      </w:r>
      <w:r w:rsidR="005305B1" w:rsidRPr="00D55E87">
        <w:rPr>
          <w:rFonts w:ascii="Arial" w:hAnsi="Arial" w:cs="Arial"/>
        </w:rPr>
        <w:t xml:space="preserve">will begin </w:t>
      </w:r>
      <w:r w:rsidR="0067690B" w:rsidRPr="00D55E87">
        <w:rPr>
          <w:rFonts w:ascii="Arial" w:hAnsi="Arial" w:cs="Arial"/>
        </w:rPr>
        <w:t xml:space="preserve">by explaining Law’s role of social reproduction and the distinction between the apolitical Rule of Law and Law’s political role within Liberal Democracy. </w:t>
      </w:r>
      <w:r w:rsidR="00527500" w:rsidRPr="00D55E87">
        <w:rPr>
          <w:rFonts w:ascii="Arial" w:hAnsi="Arial" w:cs="Arial"/>
        </w:rPr>
        <w:t xml:space="preserve">From this foundation, </w:t>
      </w:r>
      <w:r w:rsidR="00000322" w:rsidRPr="00D55E87">
        <w:rPr>
          <w:rFonts w:ascii="Arial" w:hAnsi="Arial" w:cs="Arial"/>
        </w:rPr>
        <w:t xml:space="preserve">the </w:t>
      </w:r>
      <w:r w:rsidR="0067690B" w:rsidRPr="00D55E87">
        <w:rPr>
          <w:rFonts w:ascii="Arial" w:hAnsi="Arial" w:cs="Arial"/>
        </w:rPr>
        <w:t xml:space="preserve">current fragility of the Rule of Law will </w:t>
      </w:r>
      <w:r w:rsidR="00000322" w:rsidRPr="00D55E87">
        <w:rPr>
          <w:rFonts w:ascii="Arial" w:hAnsi="Arial" w:cs="Arial"/>
        </w:rPr>
        <w:t xml:space="preserve">be analysed as </w:t>
      </w:r>
      <w:r w:rsidR="00D936E6" w:rsidRPr="00D55E87">
        <w:rPr>
          <w:rFonts w:ascii="Arial" w:hAnsi="Arial" w:cs="Arial"/>
        </w:rPr>
        <w:t xml:space="preserve">primarily </w:t>
      </w:r>
      <w:r w:rsidR="00000322" w:rsidRPr="00D55E87">
        <w:rPr>
          <w:rFonts w:ascii="Arial" w:hAnsi="Arial" w:cs="Arial"/>
        </w:rPr>
        <w:t xml:space="preserve">due to </w:t>
      </w:r>
      <w:r w:rsidR="0067690B" w:rsidRPr="00D55E87">
        <w:rPr>
          <w:rFonts w:ascii="Arial" w:hAnsi="Arial" w:cs="Arial"/>
        </w:rPr>
        <w:t xml:space="preserve">political attacks which clash with </w:t>
      </w:r>
      <w:r w:rsidR="004C4535" w:rsidRPr="00D55E87">
        <w:rPr>
          <w:rFonts w:ascii="Arial" w:hAnsi="Arial" w:cs="Arial"/>
        </w:rPr>
        <w:t xml:space="preserve">the legal system’s </w:t>
      </w:r>
      <w:r w:rsidR="0067690B" w:rsidRPr="00D55E87">
        <w:rPr>
          <w:rFonts w:ascii="Arial" w:hAnsi="Arial" w:cs="Arial"/>
        </w:rPr>
        <w:t xml:space="preserve">attempts to reproduce Liberal Democracy. </w:t>
      </w:r>
    </w:p>
    <w:p w14:paraId="6D327B16" w14:textId="77777777" w:rsidR="002106D1" w:rsidRPr="00D55E87" w:rsidRDefault="002106D1" w:rsidP="00BA1EF7">
      <w:pPr>
        <w:pStyle w:val="Standard"/>
        <w:spacing w:before="100" w:beforeAutospacing="1" w:after="100" w:afterAutospacing="1" w:line="360" w:lineRule="auto"/>
        <w:contextualSpacing/>
        <w:rPr>
          <w:rFonts w:ascii="Arial" w:hAnsi="Arial" w:cs="Arial"/>
        </w:rPr>
      </w:pPr>
    </w:p>
    <w:p w14:paraId="5C5321BB" w14:textId="7B658BBF" w:rsidR="00A674C7" w:rsidRPr="00D55E87" w:rsidRDefault="00323420"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To</w:t>
      </w:r>
      <w:r w:rsidR="003C739E" w:rsidRPr="00D55E87">
        <w:rPr>
          <w:rFonts w:ascii="Arial" w:hAnsi="Arial" w:cs="Arial"/>
        </w:rPr>
        <w:t xml:space="preserve"> conclude</w:t>
      </w:r>
      <w:r w:rsidRPr="00D55E87">
        <w:rPr>
          <w:rFonts w:ascii="Arial" w:hAnsi="Arial" w:cs="Arial"/>
        </w:rPr>
        <w:t xml:space="preserve">, the question of </w:t>
      </w:r>
      <w:r w:rsidR="003C739E" w:rsidRPr="00D55E87">
        <w:rPr>
          <w:rFonts w:ascii="Arial" w:hAnsi="Arial" w:cs="Arial"/>
          <w:i/>
          <w:iCs/>
        </w:rPr>
        <w:t xml:space="preserve">where </w:t>
      </w:r>
      <w:proofErr w:type="gramStart"/>
      <w:r w:rsidR="0028277A" w:rsidRPr="00D55E87">
        <w:rPr>
          <w:rFonts w:ascii="Arial" w:hAnsi="Arial" w:cs="Arial"/>
          <w:i/>
          <w:iCs/>
        </w:rPr>
        <w:t>should we</w:t>
      </w:r>
      <w:proofErr w:type="gramEnd"/>
      <w:r w:rsidR="0028277A" w:rsidRPr="00D55E87">
        <w:rPr>
          <w:rFonts w:ascii="Arial" w:hAnsi="Arial" w:cs="Arial"/>
          <w:i/>
          <w:iCs/>
        </w:rPr>
        <w:t xml:space="preserve"> </w:t>
      </w:r>
      <w:r w:rsidR="003C739E" w:rsidRPr="00D55E87">
        <w:rPr>
          <w:rFonts w:ascii="Arial" w:hAnsi="Arial" w:cs="Arial"/>
          <w:i/>
          <w:iCs/>
        </w:rPr>
        <w:t>go from here</w:t>
      </w:r>
      <w:r w:rsidR="00DE3C85" w:rsidRPr="00D55E87">
        <w:rPr>
          <w:rFonts w:ascii="Arial" w:hAnsi="Arial" w:cs="Arial"/>
          <w:i/>
          <w:iCs/>
        </w:rPr>
        <w:t>?</w:t>
      </w:r>
      <w:r w:rsidRPr="00D55E87">
        <w:rPr>
          <w:rFonts w:ascii="Arial" w:hAnsi="Arial" w:cs="Arial"/>
          <w:i/>
          <w:iCs/>
        </w:rPr>
        <w:t xml:space="preserve"> </w:t>
      </w:r>
      <w:r w:rsidRPr="00D55E87">
        <w:rPr>
          <w:rFonts w:ascii="Arial" w:hAnsi="Arial" w:cs="Arial"/>
        </w:rPr>
        <w:t>will be introduced</w:t>
      </w:r>
      <w:r w:rsidR="003C739E" w:rsidRPr="00D55E87">
        <w:rPr>
          <w:rFonts w:ascii="Arial" w:hAnsi="Arial" w:cs="Arial"/>
        </w:rPr>
        <w:t xml:space="preserve">. </w:t>
      </w:r>
      <w:r w:rsidR="0096517E" w:rsidRPr="00D55E87">
        <w:rPr>
          <w:rFonts w:ascii="Arial" w:hAnsi="Arial" w:cs="Arial"/>
        </w:rPr>
        <w:t>A</w:t>
      </w:r>
      <w:r w:rsidR="00A0449C" w:rsidRPr="00D55E87">
        <w:rPr>
          <w:rFonts w:ascii="Arial" w:hAnsi="Arial" w:cs="Arial"/>
        </w:rPr>
        <w:t xml:space="preserve"> </w:t>
      </w:r>
      <w:r w:rsidR="00A11239" w:rsidRPr="00D55E87">
        <w:rPr>
          <w:rFonts w:ascii="Arial" w:hAnsi="Arial" w:cs="Arial"/>
        </w:rPr>
        <w:t xml:space="preserve">more </w:t>
      </w:r>
      <w:r w:rsidR="0067690B" w:rsidRPr="00D55E87">
        <w:rPr>
          <w:rFonts w:ascii="Arial" w:hAnsi="Arial" w:cs="Arial"/>
        </w:rPr>
        <w:t xml:space="preserve">robust Rule of Law </w:t>
      </w:r>
      <w:r w:rsidR="0096517E" w:rsidRPr="00D55E87">
        <w:rPr>
          <w:rFonts w:ascii="Arial" w:hAnsi="Arial" w:cs="Arial"/>
        </w:rPr>
        <w:t xml:space="preserve">is not the answer </w:t>
      </w:r>
      <w:r w:rsidR="0067690B" w:rsidRPr="00D55E87">
        <w:rPr>
          <w:rFonts w:ascii="Arial" w:hAnsi="Arial" w:cs="Arial"/>
        </w:rPr>
        <w:t xml:space="preserve">because the Rule of Law is not inherently good: a fragile liberal legal system is preferable to a robust authoritarian one. Instead, </w:t>
      </w:r>
      <w:r w:rsidR="00056F6A" w:rsidRPr="00D55E87">
        <w:rPr>
          <w:rFonts w:ascii="Arial" w:hAnsi="Arial" w:cs="Arial"/>
        </w:rPr>
        <w:t xml:space="preserve">we need a revitalisation of </w:t>
      </w:r>
      <w:r w:rsidR="00311BB9" w:rsidRPr="00D55E87">
        <w:rPr>
          <w:rFonts w:ascii="Arial" w:hAnsi="Arial" w:cs="Arial"/>
        </w:rPr>
        <w:t xml:space="preserve">democracy to </w:t>
      </w:r>
      <w:r w:rsidR="0067690B" w:rsidRPr="00D55E87">
        <w:rPr>
          <w:rFonts w:ascii="Arial" w:hAnsi="Arial" w:cs="Arial"/>
        </w:rPr>
        <w:t>meet the political challenges of the early 21</w:t>
      </w:r>
      <w:r w:rsidR="0067690B" w:rsidRPr="00D55E87">
        <w:rPr>
          <w:rFonts w:ascii="Arial" w:hAnsi="Arial" w:cs="Arial"/>
          <w:vertAlign w:val="superscript"/>
        </w:rPr>
        <w:t>st</w:t>
      </w:r>
      <w:r w:rsidR="0067690B" w:rsidRPr="00D55E87">
        <w:rPr>
          <w:rFonts w:ascii="Arial" w:hAnsi="Arial" w:cs="Arial"/>
        </w:rPr>
        <w:t xml:space="preserve"> Century</w:t>
      </w:r>
      <w:r w:rsidR="00313006" w:rsidRPr="00D55E87">
        <w:rPr>
          <w:rFonts w:ascii="Arial" w:hAnsi="Arial" w:cs="Arial"/>
        </w:rPr>
        <w:t xml:space="preserve"> </w:t>
      </w:r>
      <w:r w:rsidR="00BA0E5C" w:rsidRPr="00D55E87">
        <w:rPr>
          <w:rFonts w:ascii="Arial" w:hAnsi="Arial" w:cs="Arial"/>
        </w:rPr>
        <w:t xml:space="preserve">and </w:t>
      </w:r>
      <w:r w:rsidR="00E15D68" w:rsidRPr="00D55E87">
        <w:rPr>
          <w:rFonts w:ascii="Arial" w:hAnsi="Arial" w:cs="Arial"/>
        </w:rPr>
        <w:t xml:space="preserve">to </w:t>
      </w:r>
      <w:r w:rsidR="00BA0E5C" w:rsidRPr="00D55E87">
        <w:rPr>
          <w:rFonts w:ascii="Arial" w:hAnsi="Arial" w:cs="Arial"/>
        </w:rPr>
        <w:t xml:space="preserve">consider the role Law </w:t>
      </w:r>
      <w:r w:rsidR="0044548D" w:rsidRPr="00D55E87">
        <w:rPr>
          <w:rFonts w:ascii="Arial" w:hAnsi="Arial" w:cs="Arial"/>
        </w:rPr>
        <w:t xml:space="preserve">could </w:t>
      </w:r>
      <w:r w:rsidR="00BA0E5C" w:rsidRPr="00D55E87">
        <w:rPr>
          <w:rFonts w:ascii="Arial" w:hAnsi="Arial" w:cs="Arial"/>
        </w:rPr>
        <w:t>play in this.</w:t>
      </w:r>
    </w:p>
    <w:p w14:paraId="7C41FC2A" w14:textId="34B8B725" w:rsidR="00A674C7" w:rsidRPr="00D55E87" w:rsidRDefault="00A674C7" w:rsidP="00BA1EF7">
      <w:pPr>
        <w:pStyle w:val="Standard"/>
        <w:spacing w:before="100" w:beforeAutospacing="1" w:after="100" w:afterAutospacing="1" w:line="360" w:lineRule="auto"/>
        <w:contextualSpacing/>
        <w:rPr>
          <w:rFonts w:ascii="Arial" w:hAnsi="Arial" w:cs="Arial"/>
        </w:rPr>
      </w:pPr>
    </w:p>
    <w:p w14:paraId="2D56C5E8" w14:textId="77777777" w:rsidR="00C52605" w:rsidRPr="00D55E87" w:rsidRDefault="00C52605" w:rsidP="00BA1EF7">
      <w:pPr>
        <w:pStyle w:val="Standard"/>
        <w:spacing w:before="100" w:beforeAutospacing="1" w:after="100" w:afterAutospacing="1" w:line="360" w:lineRule="auto"/>
        <w:contextualSpacing/>
        <w:rPr>
          <w:rFonts w:ascii="Arial" w:hAnsi="Arial" w:cs="Arial"/>
        </w:rPr>
      </w:pPr>
    </w:p>
    <w:p w14:paraId="0A73D36B"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32"/>
          <w:szCs w:val="32"/>
          <w:u w:val="single"/>
        </w:rPr>
      </w:pPr>
      <w:r w:rsidRPr="00D55E87">
        <w:rPr>
          <w:rFonts w:ascii="Arial" w:hAnsi="Arial" w:cs="Arial"/>
          <w:b/>
          <w:bCs/>
          <w:sz w:val="32"/>
          <w:szCs w:val="32"/>
          <w:u w:val="single"/>
        </w:rPr>
        <w:t>Scope</w:t>
      </w:r>
    </w:p>
    <w:p w14:paraId="1882629A"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389CDBC7" w14:textId="77777777" w:rsidR="00816858"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lastRenderedPageBreak/>
        <w:t>This essay will focus primarily on the UK and the USA, capitalist liberal democracies which have faced significant right-wing political movements in recent years. This analysis is directly relevant for other western liberal democracies which face similar challenges, and more broadly, the conception of Law and the Rule of Law developed here will be relevant to anybody thinking about democracy and Law.</w:t>
      </w:r>
    </w:p>
    <w:p w14:paraId="735EEB20" w14:textId="77777777" w:rsidR="00816858" w:rsidRPr="00D55E87" w:rsidRDefault="00816858" w:rsidP="00BA1EF7">
      <w:pPr>
        <w:pStyle w:val="Standard"/>
        <w:spacing w:before="100" w:beforeAutospacing="1" w:after="100" w:afterAutospacing="1" w:line="360" w:lineRule="auto"/>
        <w:contextualSpacing/>
        <w:rPr>
          <w:rFonts w:ascii="Arial" w:hAnsi="Arial" w:cs="Arial"/>
        </w:rPr>
      </w:pPr>
    </w:p>
    <w:p w14:paraId="12F8D6B2" w14:textId="77777777" w:rsidR="00816858" w:rsidRPr="00D55E87" w:rsidRDefault="00816858" w:rsidP="00BA1EF7">
      <w:pPr>
        <w:pStyle w:val="Standard"/>
        <w:spacing w:before="100" w:beforeAutospacing="1" w:after="100" w:afterAutospacing="1" w:line="360" w:lineRule="auto"/>
        <w:contextualSpacing/>
        <w:rPr>
          <w:rFonts w:ascii="Arial" w:hAnsi="Arial" w:cs="Arial"/>
        </w:rPr>
      </w:pPr>
    </w:p>
    <w:p w14:paraId="1BB69250" w14:textId="1B6F2C07" w:rsidR="00A674C7" w:rsidRPr="00D55E87" w:rsidRDefault="0067690B" w:rsidP="00BA1EF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b/>
          <w:bCs/>
          <w:sz w:val="36"/>
          <w:szCs w:val="36"/>
          <w:u w:val="single"/>
        </w:rPr>
        <w:t>Law’s Social Reproduction</w:t>
      </w:r>
    </w:p>
    <w:p w14:paraId="4617CFAB"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1A86AD56" w14:textId="1B25CE5D" w:rsidR="00A674C7" w:rsidRPr="00D55E87" w:rsidRDefault="0067690B" w:rsidP="00BA1EF7">
      <w:pPr>
        <w:pStyle w:val="Standard"/>
        <w:spacing w:before="100" w:beforeAutospacing="1" w:after="100" w:afterAutospacing="1" w:line="360" w:lineRule="auto"/>
        <w:contextualSpacing/>
        <w:rPr>
          <w:rFonts w:ascii="Arial" w:hAnsi="Arial" w:cs="Arial"/>
        </w:rPr>
      </w:pPr>
      <w:proofErr w:type="gramStart"/>
      <w:r w:rsidRPr="00D55E87">
        <w:rPr>
          <w:rFonts w:ascii="Arial" w:hAnsi="Arial" w:cs="Arial"/>
        </w:rPr>
        <w:t>In order to</w:t>
      </w:r>
      <w:proofErr w:type="gramEnd"/>
      <w:r w:rsidRPr="00D55E87">
        <w:rPr>
          <w:rFonts w:ascii="Arial" w:hAnsi="Arial" w:cs="Arial"/>
        </w:rPr>
        <w:t xml:space="preserve"> properly analyse why the Rule of Law is currently fragile, we need to understand </w:t>
      </w:r>
      <w:r w:rsidR="00C4732A" w:rsidRPr="00D55E87">
        <w:rPr>
          <w:rFonts w:ascii="Arial" w:hAnsi="Arial" w:cs="Arial"/>
        </w:rPr>
        <w:t>Law</w:t>
      </w:r>
      <w:r w:rsidRPr="00D55E87">
        <w:rPr>
          <w:rFonts w:ascii="Arial" w:hAnsi="Arial" w:cs="Arial"/>
        </w:rPr>
        <w:t xml:space="preserve">’s role in society. This is a broader approach than typically adopted by modern legal philosophy, which </w:t>
      </w:r>
      <w:r w:rsidR="002B3528" w:rsidRPr="00D55E87">
        <w:rPr>
          <w:rFonts w:ascii="Arial" w:hAnsi="Arial" w:cs="Arial"/>
        </w:rPr>
        <w:t xml:space="preserve">typically </w:t>
      </w:r>
      <w:r w:rsidRPr="00D55E87">
        <w:rPr>
          <w:rFonts w:ascii="Arial" w:hAnsi="Arial" w:cs="Arial"/>
        </w:rPr>
        <w:t xml:space="preserve">analyses </w:t>
      </w:r>
      <w:r w:rsidR="00F368BB" w:rsidRPr="00D55E87">
        <w:rPr>
          <w:rFonts w:ascii="Arial" w:hAnsi="Arial" w:cs="Arial"/>
        </w:rPr>
        <w:t>Law from within liberalism without considering a bigger picture</w:t>
      </w:r>
      <w:r w:rsidRPr="00D55E87">
        <w:rPr>
          <w:rFonts w:ascii="Arial" w:hAnsi="Arial" w:cs="Arial"/>
        </w:rPr>
        <w:t>.</w:t>
      </w:r>
      <w:r w:rsidRPr="00D55E87">
        <w:rPr>
          <w:rStyle w:val="FootnoteReference"/>
          <w:rFonts w:ascii="Arial" w:hAnsi="Arial" w:cs="Arial"/>
        </w:rPr>
        <w:footnoteReference w:id="2"/>
      </w:r>
      <w:r w:rsidRPr="00D55E87">
        <w:rPr>
          <w:rFonts w:ascii="Arial" w:hAnsi="Arial" w:cs="Arial"/>
        </w:rPr>
        <w:t xml:space="preserve"> The core point is that Law plays a significant role in social reproduction</w:t>
      </w:r>
      <w:r w:rsidR="00E46483" w:rsidRPr="00D55E87">
        <w:rPr>
          <w:rFonts w:ascii="Arial" w:hAnsi="Arial" w:cs="Arial"/>
        </w:rPr>
        <w:t>, which is</w:t>
      </w:r>
      <w:r w:rsidRPr="00D55E87">
        <w:rPr>
          <w:rFonts w:ascii="Arial" w:hAnsi="Arial" w:cs="Arial"/>
        </w:rPr>
        <w:t xml:space="preserve"> the way social structures are constantly remade in the tension between replicating the existing social order and the changing development of society over time.</w:t>
      </w:r>
    </w:p>
    <w:p w14:paraId="3BB48A6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182E097A" w14:textId="58E271D8"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This understanding of Law as </w:t>
      </w:r>
      <w:r w:rsidR="008D4561" w:rsidRPr="00D55E87">
        <w:rPr>
          <w:rFonts w:ascii="Arial" w:hAnsi="Arial" w:cs="Arial"/>
        </w:rPr>
        <w:t>‘</w:t>
      </w:r>
      <w:r w:rsidRPr="00D55E87">
        <w:rPr>
          <w:rFonts w:ascii="Arial" w:hAnsi="Arial" w:cs="Arial"/>
        </w:rPr>
        <w:t>social reproduction</w:t>
      </w:r>
      <w:r w:rsidR="008D4561" w:rsidRPr="00D55E87">
        <w:rPr>
          <w:rFonts w:ascii="Arial" w:hAnsi="Arial" w:cs="Arial"/>
        </w:rPr>
        <w:t>’</w:t>
      </w:r>
      <w:r w:rsidRPr="00D55E87">
        <w:rPr>
          <w:rFonts w:ascii="Arial" w:hAnsi="Arial" w:cs="Arial"/>
        </w:rPr>
        <w:t xml:space="preserve"> is vital for analysing why the Rule of Law is currently so fragile: it is because the particular social order which the legal system seeks to reproduce </w:t>
      </w:r>
      <w:r w:rsidR="00C24BC0" w:rsidRPr="00D55E87">
        <w:rPr>
          <w:rFonts w:ascii="Arial" w:hAnsi="Arial" w:cs="Arial"/>
        </w:rPr>
        <w:t xml:space="preserve">is </w:t>
      </w:r>
      <w:r w:rsidRPr="00D55E87">
        <w:rPr>
          <w:rFonts w:ascii="Arial" w:hAnsi="Arial" w:cs="Arial"/>
        </w:rPr>
        <w:t>being challenged. Beyond this, it illuminates the potential of Law being used to work towards a better and more just society.</w:t>
      </w:r>
    </w:p>
    <w:p w14:paraId="392E5D6B"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2C2B261" w14:textId="023658B8"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Society is a web of relationships which every individual lives within.</w:t>
      </w:r>
      <w:r w:rsidRPr="00D55E87">
        <w:rPr>
          <w:rStyle w:val="FootnoteReference"/>
          <w:rFonts w:ascii="Arial" w:hAnsi="Arial" w:cs="Arial"/>
        </w:rPr>
        <w:footnoteReference w:id="3"/>
      </w:r>
      <w:r w:rsidRPr="00D55E87">
        <w:rPr>
          <w:rFonts w:ascii="Arial" w:hAnsi="Arial" w:cs="Arial"/>
        </w:rPr>
        <w:t xml:space="preserve"> In modern society, Law has become part of almost every aspect of our live</w:t>
      </w:r>
      <w:r w:rsidR="00FA7DC9" w:rsidRPr="00D55E87">
        <w:rPr>
          <w:rFonts w:ascii="Arial" w:hAnsi="Arial" w:cs="Arial"/>
        </w:rPr>
        <w:t>s</w:t>
      </w:r>
      <w:r w:rsidRPr="00D55E87">
        <w:rPr>
          <w:rFonts w:ascii="Arial" w:hAnsi="Arial" w:cs="Arial"/>
        </w:rPr>
        <w:t>, influencing, mediating and reproducing these relations. At the individual level this includes everything from how we are treated at work to where we are allowed to walk and even many aspects of intimate relationships. At the social level, Law reproduces social structures, legitimises the existing order, is a site of contestation between emerging norms and existing norms, and institutionalises social dynamics.</w:t>
      </w:r>
      <w:r w:rsidRPr="00D55E87">
        <w:rPr>
          <w:rStyle w:val="FootnoteReference"/>
          <w:rFonts w:ascii="Arial" w:hAnsi="Arial" w:cs="Arial"/>
        </w:rPr>
        <w:footnoteReference w:id="4"/>
      </w:r>
      <w:r w:rsidRPr="00D55E87">
        <w:rPr>
          <w:rFonts w:ascii="Arial" w:hAnsi="Arial" w:cs="Arial"/>
        </w:rPr>
        <w:t xml:space="preserve"> Part of this is cultural reproduction, influencing </w:t>
      </w:r>
      <w:r w:rsidR="000B7637" w:rsidRPr="00D55E87">
        <w:rPr>
          <w:rFonts w:ascii="Arial" w:hAnsi="Arial" w:cs="Arial"/>
        </w:rPr>
        <w:t>how</w:t>
      </w:r>
      <w:r w:rsidRPr="00D55E87">
        <w:rPr>
          <w:rFonts w:ascii="Arial" w:hAnsi="Arial" w:cs="Arial"/>
        </w:rPr>
        <w:t xml:space="preserve"> we understand the world and what people consider as normal and right.</w:t>
      </w:r>
    </w:p>
    <w:p w14:paraId="42420B47"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7AB78D0A" w14:textId="77777777"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lastRenderedPageBreak/>
        <w:t xml:space="preserve">Social reproduction is not a simple replication of a static </w:t>
      </w:r>
      <w:proofErr w:type="gramStart"/>
      <w:r w:rsidRPr="00D55E87">
        <w:rPr>
          <w:rFonts w:ascii="Arial" w:hAnsi="Arial" w:cs="Arial"/>
        </w:rPr>
        <w:t>state of affairs</w:t>
      </w:r>
      <w:proofErr w:type="gramEnd"/>
      <w:r w:rsidRPr="00D55E87">
        <w:rPr>
          <w:rFonts w:ascii="Arial" w:hAnsi="Arial" w:cs="Arial"/>
        </w:rPr>
        <w:t xml:space="preserve"> but instead a dynamic interaction of conflicting power dynamics between various social groups, clashing ideas of how society should be, and emerging norms versus existing norms, all unfolding through the development of history.</w:t>
      </w:r>
    </w:p>
    <w:p w14:paraId="6EAAA833"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24039834" w14:textId="77777777" w:rsidR="00A674C7" w:rsidRPr="00D55E87" w:rsidRDefault="0067690B" w:rsidP="00BA1EF7">
      <w:pPr>
        <w:pStyle w:val="Standard"/>
        <w:spacing w:before="100" w:beforeAutospacing="1" w:after="100" w:afterAutospacing="1" w:line="360" w:lineRule="auto"/>
        <w:contextualSpacing/>
        <w:rPr>
          <w:rFonts w:ascii="Arial" w:hAnsi="Arial" w:cs="Arial"/>
          <w:color w:val="000000"/>
        </w:rPr>
      </w:pPr>
      <w:bookmarkStart w:id="0" w:name="docs-internal-guid-8d30e7b7-7fff-e5e1-0a"/>
      <w:bookmarkEnd w:id="0"/>
      <w:r w:rsidRPr="00D55E87">
        <w:rPr>
          <w:rFonts w:ascii="Arial" w:hAnsi="Arial" w:cs="Arial"/>
          <w:color w:val="000000"/>
        </w:rPr>
        <w:t>The legal system is positioned in the middle of these tensions. It has a symbiotic relationship with society, being both made by society and in turn dynamically reproducing the social order. Top-down legislative changes are introduced with different ideas by different political groups, while more diffuse cultural change from the bottom-up through cases being litigated and the arguments lawyers make, and perhaps also sideways through the minds of judges deciding cases.</w:t>
      </w:r>
    </w:p>
    <w:p w14:paraId="38F2B71E"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267C487" w14:textId="5DFECD64" w:rsidR="00A674C7" w:rsidRPr="00D55E87" w:rsidRDefault="00CF4095"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A good example of this is w</w:t>
      </w:r>
      <w:r w:rsidR="0067690B" w:rsidRPr="00D55E87">
        <w:rPr>
          <w:rFonts w:ascii="Arial" w:hAnsi="Arial" w:cs="Arial"/>
        </w:rPr>
        <w:t>orkers’ rights</w:t>
      </w:r>
      <w:r w:rsidR="004C5758" w:rsidRPr="00D55E87">
        <w:rPr>
          <w:rFonts w:ascii="Arial" w:hAnsi="Arial" w:cs="Arial"/>
        </w:rPr>
        <w:t xml:space="preserve">. </w:t>
      </w:r>
      <w:r w:rsidR="00FA6371" w:rsidRPr="00D55E87">
        <w:rPr>
          <w:rFonts w:ascii="Arial" w:hAnsi="Arial" w:cs="Arial"/>
        </w:rPr>
        <w:t>We can see how these</w:t>
      </w:r>
      <w:r w:rsidR="004C5758" w:rsidRPr="00D55E87">
        <w:rPr>
          <w:rFonts w:ascii="Arial" w:hAnsi="Arial" w:cs="Arial"/>
        </w:rPr>
        <w:t xml:space="preserve"> laws </w:t>
      </w:r>
      <w:r w:rsidR="002321D0" w:rsidRPr="00D55E87">
        <w:rPr>
          <w:rFonts w:ascii="Arial" w:hAnsi="Arial" w:cs="Arial"/>
        </w:rPr>
        <w:t xml:space="preserve">fluctuate </w:t>
      </w:r>
      <w:proofErr w:type="gramStart"/>
      <w:r w:rsidRPr="00D55E87">
        <w:rPr>
          <w:rFonts w:ascii="Arial" w:hAnsi="Arial" w:cs="Arial"/>
        </w:rPr>
        <w:t xml:space="preserve">as a </w:t>
      </w:r>
      <w:r w:rsidR="0067690B" w:rsidRPr="00D55E87">
        <w:rPr>
          <w:rFonts w:ascii="Arial" w:hAnsi="Arial" w:cs="Arial"/>
        </w:rPr>
        <w:t>result of</w:t>
      </w:r>
      <w:proofErr w:type="gramEnd"/>
      <w:r w:rsidR="0067690B" w:rsidRPr="00D55E87">
        <w:rPr>
          <w:rFonts w:ascii="Arial" w:hAnsi="Arial" w:cs="Arial"/>
        </w:rPr>
        <w:t xml:space="preserve"> battles between organised labour and corporate power</w:t>
      </w:r>
      <w:r w:rsidR="00DC5705" w:rsidRPr="00D55E87">
        <w:rPr>
          <w:rFonts w:ascii="Arial" w:hAnsi="Arial" w:cs="Arial"/>
        </w:rPr>
        <w:t xml:space="preserve"> in </w:t>
      </w:r>
      <w:r w:rsidR="0067690B" w:rsidRPr="00D55E87">
        <w:rPr>
          <w:rFonts w:ascii="Arial" w:hAnsi="Arial" w:cs="Arial"/>
        </w:rPr>
        <w:t>society, political institutions and the legal system</w:t>
      </w:r>
      <w:r w:rsidR="00F84421" w:rsidRPr="00D55E87">
        <w:rPr>
          <w:rFonts w:ascii="Arial" w:hAnsi="Arial" w:cs="Arial"/>
        </w:rPr>
        <w:t xml:space="preserve">. They </w:t>
      </w:r>
      <w:r w:rsidR="00CB15C0" w:rsidRPr="00D55E87">
        <w:rPr>
          <w:rFonts w:ascii="Arial" w:hAnsi="Arial" w:cs="Arial"/>
        </w:rPr>
        <w:t>affect individual employees, collective action through trade unions and the balance of power in the economy</w:t>
      </w:r>
      <w:r w:rsidR="0067690B" w:rsidRPr="00D55E87">
        <w:rPr>
          <w:rFonts w:ascii="Arial" w:hAnsi="Arial" w:cs="Arial"/>
        </w:rPr>
        <w:t>. Novel developments</w:t>
      </w:r>
      <w:r w:rsidR="00DB2F76" w:rsidRPr="00D55E87">
        <w:rPr>
          <w:rFonts w:ascii="Arial" w:hAnsi="Arial" w:cs="Arial"/>
        </w:rPr>
        <w:t xml:space="preserve">, </w:t>
      </w:r>
      <w:r w:rsidR="0067690B" w:rsidRPr="00D55E87">
        <w:rPr>
          <w:rFonts w:ascii="Arial" w:hAnsi="Arial" w:cs="Arial"/>
        </w:rPr>
        <w:t>such as zero-hours contracts and the gig economy</w:t>
      </w:r>
      <w:r w:rsidR="00DB2F76" w:rsidRPr="00D55E87">
        <w:rPr>
          <w:rFonts w:ascii="Arial" w:hAnsi="Arial" w:cs="Arial"/>
        </w:rPr>
        <w:t xml:space="preserve">, are mediated through the application of existing </w:t>
      </w:r>
      <w:r w:rsidR="0067690B" w:rsidRPr="00D55E87">
        <w:rPr>
          <w:rFonts w:ascii="Arial" w:hAnsi="Arial" w:cs="Arial"/>
        </w:rPr>
        <w:t>legal norms to produce the next iteration of employment relations.</w:t>
      </w:r>
    </w:p>
    <w:p w14:paraId="71EB459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69D95D76"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2E36D47"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36"/>
          <w:szCs w:val="36"/>
          <w:u w:val="single"/>
        </w:rPr>
      </w:pPr>
      <w:r w:rsidRPr="00D55E87">
        <w:rPr>
          <w:rFonts w:ascii="Arial" w:hAnsi="Arial" w:cs="Arial"/>
          <w:b/>
          <w:bCs/>
          <w:sz w:val="36"/>
          <w:szCs w:val="36"/>
          <w:u w:val="single"/>
        </w:rPr>
        <w:t>The Rule of Law</w:t>
      </w:r>
    </w:p>
    <w:p w14:paraId="79E42ED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1E58CC0" w14:textId="77777777"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For a clear understanding of the political causes of the current fragility of the Rule of Law it is vital to separate out the Rule of Law in general, which is value neutral, from the particular use of Law within Liberal Democracy.</w:t>
      </w:r>
    </w:p>
    <w:p w14:paraId="1E5586D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2224E21" w14:textId="077CB124"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The </w:t>
      </w:r>
      <w:proofErr w:type="gramStart"/>
      <w:r w:rsidRPr="00D55E87">
        <w:rPr>
          <w:rFonts w:ascii="Arial" w:hAnsi="Arial" w:cs="Arial"/>
        </w:rPr>
        <w:t>core essence</w:t>
      </w:r>
      <w:proofErr w:type="gramEnd"/>
      <w:r w:rsidRPr="00D55E87">
        <w:rPr>
          <w:rFonts w:ascii="Arial" w:hAnsi="Arial" w:cs="Arial"/>
        </w:rPr>
        <w:t xml:space="preserve"> of the Rule of Law is that the exercise of power should be controlled by Law.</w:t>
      </w:r>
      <w:r w:rsidRPr="00D55E87">
        <w:rPr>
          <w:rStyle w:val="FootnoteReference"/>
          <w:rFonts w:ascii="Arial" w:hAnsi="Arial" w:cs="Arial"/>
        </w:rPr>
        <w:footnoteReference w:id="5"/>
      </w:r>
      <w:r w:rsidRPr="00D55E87">
        <w:rPr>
          <w:rFonts w:ascii="Arial" w:hAnsi="Arial" w:cs="Arial"/>
        </w:rPr>
        <w:t xml:space="preserve"> Leaving aside the difficulty of attempting to define ‘power’, this means that both government and private conduct must be through and within legal norms, not through non-legal personal exercise of official power or interpersonal violence. This also </w:t>
      </w:r>
      <w:r w:rsidR="008D4561" w:rsidRPr="00D55E87">
        <w:rPr>
          <w:rFonts w:ascii="Arial" w:hAnsi="Arial" w:cs="Arial"/>
        </w:rPr>
        <w:t xml:space="preserve">equality before the </w:t>
      </w:r>
      <w:r w:rsidR="00C4732A" w:rsidRPr="00D55E87">
        <w:rPr>
          <w:rFonts w:ascii="Arial" w:hAnsi="Arial" w:cs="Arial"/>
        </w:rPr>
        <w:t>Law</w:t>
      </w:r>
      <w:r w:rsidR="008D4561" w:rsidRPr="00D55E87">
        <w:rPr>
          <w:rFonts w:ascii="Arial" w:hAnsi="Arial" w:cs="Arial"/>
        </w:rPr>
        <w:t xml:space="preserve">, </w:t>
      </w:r>
      <w:r w:rsidRPr="00D55E87">
        <w:rPr>
          <w:rFonts w:ascii="Arial" w:hAnsi="Arial" w:cs="Arial"/>
        </w:rPr>
        <w:t xml:space="preserve">that </w:t>
      </w:r>
      <w:r w:rsidR="00C4732A" w:rsidRPr="00D55E87">
        <w:rPr>
          <w:rFonts w:ascii="Arial" w:hAnsi="Arial" w:cs="Arial"/>
        </w:rPr>
        <w:t xml:space="preserve">laws are </w:t>
      </w:r>
      <w:r w:rsidR="008D4561" w:rsidRPr="00D55E87">
        <w:rPr>
          <w:rFonts w:ascii="Arial" w:hAnsi="Arial" w:cs="Arial"/>
        </w:rPr>
        <w:t xml:space="preserve">applied </w:t>
      </w:r>
      <w:r w:rsidRPr="00D55E87">
        <w:rPr>
          <w:rFonts w:ascii="Arial" w:hAnsi="Arial" w:cs="Arial"/>
        </w:rPr>
        <w:t>to everyone in the same manner</w:t>
      </w:r>
      <w:r w:rsidR="008D4561" w:rsidRPr="00D55E87">
        <w:rPr>
          <w:rFonts w:ascii="Arial" w:hAnsi="Arial" w:cs="Arial"/>
        </w:rPr>
        <w:t>.</w:t>
      </w:r>
    </w:p>
    <w:p w14:paraId="091C1D09"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16929BF8" w14:textId="19866186"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This core is developed into more detailed principles about how a legal system should function, sometimes termed ‘Rule of Law principles’.</w:t>
      </w:r>
      <w:r w:rsidRPr="00D55E87">
        <w:rPr>
          <w:rStyle w:val="FootnoteReference"/>
          <w:rFonts w:ascii="Arial" w:hAnsi="Arial" w:cs="Arial"/>
        </w:rPr>
        <w:footnoteReference w:id="6"/>
      </w:r>
      <w:r w:rsidRPr="00D55E87">
        <w:rPr>
          <w:rFonts w:ascii="Arial" w:hAnsi="Arial" w:cs="Arial"/>
        </w:rPr>
        <w:t xml:space="preserve"> Though theorists </w:t>
      </w:r>
      <w:r w:rsidR="00DE67F4" w:rsidRPr="00D55E87">
        <w:rPr>
          <w:rFonts w:ascii="Arial" w:hAnsi="Arial" w:cs="Arial"/>
        </w:rPr>
        <w:t xml:space="preserve">differ slightly </w:t>
      </w:r>
      <w:r w:rsidRPr="00D55E87">
        <w:rPr>
          <w:rFonts w:ascii="Arial" w:hAnsi="Arial" w:cs="Arial"/>
        </w:rPr>
        <w:t>in the principles they list,</w:t>
      </w:r>
      <w:r w:rsidRPr="00D55E87">
        <w:rPr>
          <w:rStyle w:val="FootnoteReference"/>
          <w:rFonts w:ascii="Arial" w:hAnsi="Arial" w:cs="Arial"/>
        </w:rPr>
        <w:footnoteReference w:id="7"/>
      </w:r>
      <w:r w:rsidRPr="00D55E87">
        <w:rPr>
          <w:rFonts w:ascii="Arial" w:hAnsi="Arial" w:cs="Arial"/>
        </w:rPr>
        <w:t xml:space="preserve"> these </w:t>
      </w:r>
      <w:r w:rsidR="00DE67F4" w:rsidRPr="00D55E87">
        <w:rPr>
          <w:rFonts w:ascii="Arial" w:hAnsi="Arial" w:cs="Arial"/>
        </w:rPr>
        <w:t xml:space="preserve">principles </w:t>
      </w:r>
      <w:r w:rsidRPr="00D55E87">
        <w:rPr>
          <w:rFonts w:ascii="Arial" w:hAnsi="Arial" w:cs="Arial"/>
        </w:rPr>
        <w:t>are considered generally settled</w:t>
      </w:r>
      <w:r w:rsidRPr="00D55E87">
        <w:rPr>
          <w:rStyle w:val="FootnoteReference"/>
          <w:rFonts w:ascii="Arial" w:hAnsi="Arial" w:cs="Arial"/>
        </w:rPr>
        <w:footnoteReference w:id="8"/>
      </w:r>
      <w:r w:rsidRPr="00D55E87">
        <w:rPr>
          <w:rFonts w:ascii="Arial" w:hAnsi="Arial" w:cs="Arial"/>
        </w:rPr>
        <w:t xml:space="preserve"> and </w:t>
      </w:r>
      <w:r w:rsidR="00DE67F4" w:rsidRPr="00D55E87">
        <w:rPr>
          <w:rFonts w:ascii="Arial" w:hAnsi="Arial" w:cs="Arial"/>
        </w:rPr>
        <w:t xml:space="preserve">are legal principles in most </w:t>
      </w:r>
      <w:r w:rsidRPr="00D55E87">
        <w:rPr>
          <w:rFonts w:ascii="Arial" w:hAnsi="Arial" w:cs="Arial"/>
        </w:rPr>
        <w:t>legal systems</w:t>
      </w:r>
      <w:r w:rsidR="00DE67F4" w:rsidRPr="00D55E87">
        <w:rPr>
          <w:rFonts w:ascii="Arial" w:hAnsi="Arial" w:cs="Arial"/>
        </w:rPr>
        <w:t>.</w:t>
      </w:r>
    </w:p>
    <w:p w14:paraId="11762754"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7CCF77C3" w14:textId="6D15B298"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Crucially, this is a politically neutral concept:</w:t>
      </w:r>
      <w:r w:rsidRPr="00D55E87">
        <w:rPr>
          <w:rStyle w:val="FootnoteReference"/>
          <w:rFonts w:ascii="Arial" w:hAnsi="Arial" w:cs="Arial"/>
        </w:rPr>
        <w:footnoteReference w:id="9"/>
      </w:r>
      <w:r w:rsidRPr="00D55E87">
        <w:rPr>
          <w:rFonts w:ascii="Arial" w:hAnsi="Arial" w:cs="Arial"/>
        </w:rPr>
        <w:t xml:space="preserve"> that </w:t>
      </w:r>
      <w:r w:rsidR="008174EF" w:rsidRPr="00D55E87">
        <w:rPr>
          <w:rFonts w:ascii="Arial" w:hAnsi="Arial" w:cs="Arial"/>
        </w:rPr>
        <w:t>L</w:t>
      </w:r>
      <w:r w:rsidRPr="00D55E87">
        <w:rPr>
          <w:rFonts w:ascii="Arial" w:hAnsi="Arial" w:cs="Arial"/>
        </w:rPr>
        <w:t xml:space="preserve">aw rules </w:t>
      </w:r>
      <w:proofErr w:type="gramStart"/>
      <w:r w:rsidRPr="00D55E87">
        <w:rPr>
          <w:rFonts w:ascii="Arial" w:hAnsi="Arial" w:cs="Arial"/>
        </w:rPr>
        <w:t>is</w:t>
      </w:r>
      <w:proofErr w:type="gramEnd"/>
      <w:r w:rsidRPr="00D55E87">
        <w:rPr>
          <w:rFonts w:ascii="Arial" w:hAnsi="Arial" w:cs="Arial"/>
        </w:rPr>
        <w:t xml:space="preserve"> distinct from </w:t>
      </w:r>
      <w:r w:rsidR="008174EF" w:rsidRPr="00D55E87">
        <w:rPr>
          <w:rFonts w:ascii="Arial" w:hAnsi="Arial" w:cs="Arial"/>
        </w:rPr>
        <w:t>which</w:t>
      </w:r>
      <w:r w:rsidRPr="00D55E87">
        <w:rPr>
          <w:rFonts w:ascii="Arial" w:hAnsi="Arial" w:cs="Arial"/>
        </w:rPr>
        <w:t xml:space="preserve"> laws are </w:t>
      </w:r>
      <w:proofErr w:type="gramStart"/>
      <w:r w:rsidRPr="00D55E87">
        <w:rPr>
          <w:rFonts w:ascii="Arial" w:hAnsi="Arial" w:cs="Arial"/>
        </w:rPr>
        <w:t>actually ruling</w:t>
      </w:r>
      <w:proofErr w:type="gramEnd"/>
      <w:r w:rsidRPr="00D55E87">
        <w:rPr>
          <w:rFonts w:ascii="Arial" w:hAnsi="Arial" w:cs="Arial"/>
        </w:rPr>
        <w:t>. Laws can be good or bad, working toward freedom or toward oppression</w:t>
      </w:r>
      <w:r w:rsidR="008743A1" w:rsidRPr="00D55E87">
        <w:rPr>
          <w:rFonts w:ascii="Arial" w:hAnsi="Arial" w:cs="Arial"/>
        </w:rPr>
        <w:t>.</w:t>
      </w:r>
      <w:r w:rsidRPr="00D55E87">
        <w:rPr>
          <w:rFonts w:ascii="Arial" w:hAnsi="Arial" w:cs="Arial"/>
        </w:rPr>
        <w:t xml:space="preserve"> </w:t>
      </w:r>
      <w:r w:rsidR="008743A1" w:rsidRPr="00D55E87">
        <w:rPr>
          <w:rFonts w:ascii="Arial" w:hAnsi="Arial" w:cs="Arial"/>
        </w:rPr>
        <w:t>F</w:t>
      </w:r>
      <w:r w:rsidRPr="00D55E87">
        <w:rPr>
          <w:rFonts w:ascii="Arial" w:hAnsi="Arial" w:cs="Arial"/>
        </w:rPr>
        <w:t xml:space="preserve">or example, political protests can be legally protected through democratic rights or they can be outlawed. Adhering to the Rule of Law principles will benefit laws which oppress, as they will work better if they are public, precise and stable, just as it benefits just laws. Similarly, an authoritarian regime ruling through </w:t>
      </w:r>
      <w:r w:rsidR="00C4732A" w:rsidRPr="00D55E87">
        <w:rPr>
          <w:rFonts w:ascii="Arial" w:hAnsi="Arial" w:cs="Arial"/>
        </w:rPr>
        <w:t>Law</w:t>
      </w:r>
      <w:r w:rsidRPr="00D55E87">
        <w:rPr>
          <w:rFonts w:ascii="Arial" w:hAnsi="Arial" w:cs="Arial"/>
        </w:rPr>
        <w:t xml:space="preserve"> will want power to be exercised in accordance with their rules, instead of allowing discretion by official</w:t>
      </w:r>
      <w:r w:rsidR="00547151" w:rsidRPr="00D55E87">
        <w:rPr>
          <w:rFonts w:ascii="Arial" w:hAnsi="Arial" w:cs="Arial"/>
        </w:rPr>
        <w:t>s</w:t>
      </w:r>
      <w:r w:rsidRPr="00D55E87">
        <w:rPr>
          <w:rFonts w:ascii="Arial" w:hAnsi="Arial" w:cs="Arial"/>
        </w:rPr>
        <w:t xml:space="preserve"> </w:t>
      </w:r>
      <w:r w:rsidR="00414828" w:rsidRPr="00D55E87">
        <w:rPr>
          <w:rFonts w:ascii="Arial" w:hAnsi="Arial" w:cs="Arial"/>
        </w:rPr>
        <w:t>with differing views.</w:t>
      </w:r>
    </w:p>
    <w:p w14:paraId="29056BF0" w14:textId="77777777" w:rsidR="00A674C7" w:rsidRPr="00D55E87" w:rsidRDefault="00A674C7" w:rsidP="00BA1EF7">
      <w:pPr>
        <w:pStyle w:val="Standard"/>
        <w:spacing w:before="100" w:beforeAutospacing="1" w:after="100" w:afterAutospacing="1" w:line="360" w:lineRule="auto"/>
        <w:contextualSpacing/>
        <w:rPr>
          <w:rFonts w:ascii="Arial" w:hAnsi="Arial" w:cs="Arial"/>
          <w:shd w:val="clear" w:color="auto" w:fill="FFFF00"/>
        </w:rPr>
      </w:pPr>
    </w:p>
    <w:p w14:paraId="76182E7D" w14:textId="4169FAF5" w:rsidR="001F6521" w:rsidRPr="00D55E87" w:rsidRDefault="0067690B" w:rsidP="006C7FC1">
      <w:pPr>
        <w:pStyle w:val="Standard"/>
        <w:spacing w:before="100" w:beforeAutospacing="1" w:after="100" w:afterAutospacing="1" w:line="360" w:lineRule="auto"/>
        <w:contextualSpacing/>
        <w:rPr>
          <w:rFonts w:ascii="Arial" w:hAnsi="Arial" w:cs="Arial"/>
        </w:rPr>
      </w:pPr>
      <w:r w:rsidRPr="00D55E87">
        <w:rPr>
          <w:rFonts w:ascii="Arial" w:hAnsi="Arial" w:cs="Arial"/>
        </w:rPr>
        <w:t>Many Anglo-American legal theorists weave additional political ideas into their conception of the Rule of Law, such as notions of democracy or a respect for fundamental rights (as in a former UK Supreme Court Justice’s approach).</w:t>
      </w:r>
      <w:r w:rsidRPr="00D55E87">
        <w:rPr>
          <w:rStyle w:val="FootnoteReference"/>
          <w:rFonts w:ascii="Arial" w:hAnsi="Arial" w:cs="Arial"/>
        </w:rPr>
        <w:footnoteReference w:id="10"/>
      </w:r>
      <w:r w:rsidRPr="00D55E87">
        <w:rPr>
          <w:rFonts w:ascii="Arial" w:hAnsi="Arial" w:cs="Arial"/>
        </w:rPr>
        <w:t xml:space="preserve"> Yet they are </w:t>
      </w:r>
      <w:proofErr w:type="gramStart"/>
      <w:r w:rsidR="002C1B82" w:rsidRPr="00D55E87">
        <w:rPr>
          <w:rFonts w:ascii="Arial" w:hAnsi="Arial" w:cs="Arial"/>
        </w:rPr>
        <w:t xml:space="preserve">actually </w:t>
      </w:r>
      <w:r w:rsidRPr="00D55E87">
        <w:rPr>
          <w:rFonts w:ascii="Arial" w:hAnsi="Arial" w:cs="Arial"/>
        </w:rPr>
        <w:t>merging</w:t>
      </w:r>
      <w:proofErr w:type="gramEnd"/>
      <w:r w:rsidRPr="00D55E87">
        <w:rPr>
          <w:rFonts w:ascii="Arial" w:hAnsi="Arial" w:cs="Arial"/>
        </w:rPr>
        <w:t xml:space="preserve"> </w:t>
      </w:r>
      <w:r w:rsidR="004F622C" w:rsidRPr="00D55E87">
        <w:rPr>
          <w:rFonts w:ascii="Arial" w:hAnsi="Arial" w:cs="Arial"/>
        </w:rPr>
        <w:t xml:space="preserve">ideas about </w:t>
      </w:r>
      <w:r w:rsidRPr="00D55E87">
        <w:rPr>
          <w:rFonts w:ascii="Arial" w:hAnsi="Arial" w:cs="Arial"/>
        </w:rPr>
        <w:t>Liberal Democracy with the Rule of Law</w:t>
      </w:r>
      <w:r w:rsidR="002C1B82" w:rsidRPr="00D55E87">
        <w:rPr>
          <w:rFonts w:ascii="Arial" w:hAnsi="Arial" w:cs="Arial"/>
        </w:rPr>
        <w:t xml:space="preserve">. </w:t>
      </w:r>
      <w:r w:rsidRPr="00D55E87">
        <w:rPr>
          <w:rFonts w:ascii="Arial" w:hAnsi="Arial" w:cs="Arial"/>
        </w:rPr>
        <w:t>This causes an unhelpful confusion</w:t>
      </w:r>
    </w:p>
    <w:p w14:paraId="6C64ACE3" w14:textId="5FE11196" w:rsidR="006C7FC1" w:rsidRPr="00D55E87" w:rsidRDefault="0067690B" w:rsidP="006C7FC1">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by making it appear that </w:t>
      </w:r>
      <w:r w:rsidR="00EA0FDC" w:rsidRPr="00D55E87">
        <w:rPr>
          <w:rFonts w:ascii="Arial" w:hAnsi="Arial" w:cs="Arial"/>
        </w:rPr>
        <w:t>these ideas are inherent to the Rule of Law</w:t>
      </w:r>
      <w:r w:rsidR="00B94E3D" w:rsidRPr="00D55E87">
        <w:rPr>
          <w:rFonts w:ascii="Arial" w:hAnsi="Arial" w:cs="Arial"/>
        </w:rPr>
        <w:t>, yet as we have just seen,</w:t>
      </w:r>
      <w:r w:rsidR="00734E3B" w:rsidRPr="00D55E87">
        <w:rPr>
          <w:rFonts w:ascii="Arial" w:hAnsi="Arial" w:cs="Arial"/>
        </w:rPr>
        <w:t xml:space="preserve"> authoritarian regimes too can benefit from the Rule of Law. </w:t>
      </w:r>
      <w:r w:rsidRPr="00D55E87">
        <w:rPr>
          <w:rFonts w:ascii="Arial" w:hAnsi="Arial" w:cs="Arial"/>
        </w:rPr>
        <w:t xml:space="preserve">Instead, there is greater clarity to conceptualising the Rule of Law as distinct from these political values. </w:t>
      </w:r>
      <w:r w:rsidR="00D37B5B" w:rsidRPr="00D55E87">
        <w:rPr>
          <w:rFonts w:ascii="Arial" w:hAnsi="Arial" w:cs="Arial"/>
        </w:rPr>
        <w:t xml:space="preserve">A neutral </w:t>
      </w:r>
      <w:r w:rsidRPr="00D55E87">
        <w:rPr>
          <w:rFonts w:ascii="Arial" w:hAnsi="Arial" w:cs="Arial"/>
        </w:rPr>
        <w:t xml:space="preserve">conception </w:t>
      </w:r>
      <w:r w:rsidR="00D37B5B" w:rsidRPr="00D55E87">
        <w:rPr>
          <w:rFonts w:ascii="Arial" w:hAnsi="Arial" w:cs="Arial"/>
        </w:rPr>
        <w:t xml:space="preserve">of the Rule of Law </w:t>
      </w:r>
      <w:r w:rsidRPr="00D55E87">
        <w:rPr>
          <w:rFonts w:ascii="Arial" w:hAnsi="Arial" w:cs="Arial"/>
        </w:rPr>
        <w:t>is strongly favoured by legal theorist Joseph Raz, who is clear that it is better to consider other virtues of a legal or political system separately.</w:t>
      </w:r>
      <w:r w:rsidRPr="00D55E87">
        <w:rPr>
          <w:rStyle w:val="FootnoteReference"/>
          <w:rFonts w:ascii="Arial" w:hAnsi="Arial" w:cs="Arial"/>
        </w:rPr>
        <w:footnoteReference w:id="11"/>
      </w:r>
      <w:r w:rsidR="007D2C1C" w:rsidRPr="00D55E87">
        <w:rPr>
          <w:rFonts w:ascii="Arial" w:hAnsi="Arial" w:cs="Arial"/>
        </w:rPr>
        <w:t xml:space="preserve"> </w:t>
      </w:r>
      <w:r w:rsidR="00D37B5B" w:rsidRPr="00D55E87">
        <w:rPr>
          <w:rFonts w:ascii="Arial" w:hAnsi="Arial" w:cs="Arial"/>
        </w:rPr>
        <w:t>To be clear, t</w:t>
      </w:r>
      <w:r w:rsidR="006C7FC1" w:rsidRPr="00D55E87">
        <w:rPr>
          <w:rFonts w:ascii="Arial" w:hAnsi="Arial" w:cs="Arial"/>
        </w:rPr>
        <w:t>his is not to say that the existence of the Rule of Law is not morally valuable: it is,</w:t>
      </w:r>
      <w:r w:rsidR="006C7FC1" w:rsidRPr="00D55E87">
        <w:rPr>
          <w:rStyle w:val="FootnoteReference"/>
          <w:rFonts w:ascii="Arial" w:hAnsi="Arial" w:cs="Arial"/>
        </w:rPr>
        <w:footnoteReference w:id="12"/>
      </w:r>
      <w:r w:rsidR="006C7FC1" w:rsidRPr="00D55E87">
        <w:rPr>
          <w:rFonts w:ascii="Arial" w:hAnsi="Arial" w:cs="Arial"/>
        </w:rPr>
        <w:t xml:space="preserve"> such as by allowing people to better plan their lives because they know the rules they are being governed by.</w:t>
      </w:r>
      <w:r w:rsidR="006C7FC1" w:rsidRPr="00D55E87">
        <w:rPr>
          <w:rStyle w:val="FootnoteReference"/>
          <w:rFonts w:ascii="Arial" w:hAnsi="Arial" w:cs="Arial"/>
        </w:rPr>
        <w:footnoteReference w:id="13"/>
      </w:r>
    </w:p>
    <w:p w14:paraId="400DC7E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6BBA7222" w14:textId="5511F182"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Let us, therefore, consider the distinct role that Liberal Democracy gives Law, or in other words, the social order and values it seeks to reproduce with Law. In brief, it is ‘an instrument for securing the individual a minimal security against illegitimate encroachments by others’, both ‘regarding the state and in relation to other people with whom they necessarily interact.’</w:t>
      </w:r>
      <w:r w:rsidRPr="00D55E87">
        <w:rPr>
          <w:rStyle w:val="FootnoteReference"/>
          <w:rFonts w:ascii="Arial" w:hAnsi="Arial" w:cs="Arial"/>
        </w:rPr>
        <w:footnoteReference w:id="14"/>
      </w:r>
      <w:r w:rsidRPr="00D55E87">
        <w:rPr>
          <w:rFonts w:ascii="Arial" w:hAnsi="Arial" w:cs="Arial"/>
        </w:rPr>
        <w:t xml:space="preserve"> </w:t>
      </w:r>
      <w:r w:rsidR="00E467C7" w:rsidRPr="00D55E87">
        <w:rPr>
          <w:rFonts w:ascii="Arial" w:hAnsi="Arial" w:cs="Arial"/>
        </w:rPr>
        <w:t xml:space="preserve">This means </w:t>
      </w:r>
      <w:r w:rsidR="003154C2" w:rsidRPr="00D55E87">
        <w:rPr>
          <w:rFonts w:ascii="Arial" w:hAnsi="Arial" w:cs="Arial"/>
        </w:rPr>
        <w:t xml:space="preserve">incorporating </w:t>
      </w:r>
      <w:r w:rsidRPr="00D55E87">
        <w:rPr>
          <w:rFonts w:ascii="Arial" w:hAnsi="Arial" w:cs="Arial"/>
        </w:rPr>
        <w:t>fundamental liberal rights in constitutions</w:t>
      </w:r>
      <w:r w:rsidR="003154C2" w:rsidRPr="00D55E87">
        <w:rPr>
          <w:rFonts w:ascii="Arial" w:hAnsi="Arial" w:cs="Arial"/>
        </w:rPr>
        <w:t xml:space="preserve"> and foundational common law principles</w:t>
      </w:r>
      <w:r w:rsidRPr="00D55E87">
        <w:rPr>
          <w:rFonts w:ascii="Arial" w:hAnsi="Arial" w:cs="Arial"/>
        </w:rPr>
        <w:t xml:space="preserve">, legislation, and through human rights law, which is </w:t>
      </w:r>
      <w:r w:rsidR="001A3F1E" w:rsidRPr="00D55E87">
        <w:rPr>
          <w:rFonts w:ascii="Arial" w:hAnsi="Arial" w:cs="Arial"/>
        </w:rPr>
        <w:t>rooted</w:t>
      </w:r>
      <w:r w:rsidRPr="00D55E87">
        <w:rPr>
          <w:rFonts w:ascii="Arial" w:hAnsi="Arial" w:cs="Arial"/>
        </w:rPr>
        <w:t xml:space="preserve"> in this liberal </w:t>
      </w:r>
      <w:r w:rsidR="00CF2543" w:rsidRPr="00D55E87">
        <w:rPr>
          <w:rFonts w:ascii="Arial" w:hAnsi="Arial" w:cs="Arial"/>
        </w:rPr>
        <w:t>approach</w:t>
      </w:r>
      <w:r w:rsidRPr="00D55E87">
        <w:rPr>
          <w:rFonts w:ascii="Arial" w:hAnsi="Arial" w:cs="Arial"/>
        </w:rPr>
        <w:t xml:space="preserve">. The nuance of the different traditions of classical and social liberalism, and the shortcomings of liberalism in the real world, will have to be left aside for now, though the </w:t>
      </w:r>
      <w:r w:rsidR="00AF490B" w:rsidRPr="00D55E87">
        <w:rPr>
          <w:rFonts w:ascii="Arial" w:hAnsi="Arial" w:cs="Arial"/>
        </w:rPr>
        <w:t xml:space="preserve">recent </w:t>
      </w:r>
      <w:r w:rsidRPr="00D55E87">
        <w:rPr>
          <w:rFonts w:ascii="Arial" w:hAnsi="Arial" w:cs="Arial"/>
        </w:rPr>
        <w:t>extension of liberalism to business activity in neoliberalism will feature later.</w:t>
      </w:r>
    </w:p>
    <w:p w14:paraId="6AB9694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66099EFD" w14:textId="77777777"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The distinction between the Rule of Law in general and </w:t>
      </w:r>
      <w:proofErr w:type="gramStart"/>
      <w:r w:rsidRPr="00D55E87">
        <w:rPr>
          <w:rFonts w:ascii="Arial" w:hAnsi="Arial" w:cs="Arial"/>
        </w:rPr>
        <w:t>particular liberal</w:t>
      </w:r>
      <w:proofErr w:type="gramEnd"/>
      <w:r w:rsidRPr="00D55E87">
        <w:rPr>
          <w:rFonts w:ascii="Arial" w:hAnsi="Arial" w:cs="Arial"/>
        </w:rPr>
        <w:t xml:space="preserve"> law is vital for understanding the causes of the current fragility of the Rule of Law, which we shall come to now.</w:t>
      </w:r>
    </w:p>
    <w:p w14:paraId="1A253EF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21ECF7D3"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1AEC23AF"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36"/>
          <w:szCs w:val="36"/>
          <w:u w:val="single"/>
        </w:rPr>
      </w:pPr>
      <w:r w:rsidRPr="00D55E87">
        <w:rPr>
          <w:rFonts w:ascii="Arial" w:hAnsi="Arial" w:cs="Arial"/>
          <w:b/>
          <w:bCs/>
          <w:sz w:val="36"/>
          <w:szCs w:val="36"/>
          <w:u w:val="single"/>
        </w:rPr>
        <w:t>The Fragility of the current Rule of Law</w:t>
      </w:r>
    </w:p>
    <w:p w14:paraId="7021B5BB"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05F8926E" w14:textId="2A9D8E88"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This section will consider the implications for the Rule of Law of the two most significant current political challenges: right-wing political movements in the last decade, </w:t>
      </w:r>
      <w:r w:rsidR="0033132A" w:rsidRPr="00D55E87">
        <w:rPr>
          <w:rFonts w:ascii="Arial" w:hAnsi="Arial" w:cs="Arial"/>
        </w:rPr>
        <w:t xml:space="preserve">such as </w:t>
      </w:r>
      <w:r w:rsidRPr="00D55E87">
        <w:rPr>
          <w:rFonts w:ascii="Arial" w:hAnsi="Arial" w:cs="Arial"/>
        </w:rPr>
        <w:t>the UK Conservative Party</w:t>
      </w:r>
      <w:r w:rsidR="00AB318E" w:rsidRPr="00D55E87">
        <w:rPr>
          <w:rFonts w:ascii="Arial" w:hAnsi="Arial" w:cs="Arial"/>
        </w:rPr>
        <w:t xml:space="preserve">, </w:t>
      </w:r>
      <w:r w:rsidRPr="00D55E87">
        <w:rPr>
          <w:rFonts w:ascii="Arial" w:hAnsi="Arial" w:cs="Arial"/>
        </w:rPr>
        <w:t>the USA Republican Party and social movements more broadly; and growth of financial corporate power. It will also consider the weakness of support for Liberal Democracy, which is unable to counter these challenges.</w:t>
      </w:r>
    </w:p>
    <w:p w14:paraId="6DBFD72C"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73AEAF5D"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28"/>
          <w:szCs w:val="28"/>
          <w:u w:val="single"/>
        </w:rPr>
      </w:pPr>
      <w:r w:rsidRPr="00D55E87">
        <w:rPr>
          <w:rFonts w:ascii="Arial" w:hAnsi="Arial" w:cs="Arial"/>
          <w:b/>
          <w:bCs/>
          <w:sz w:val="28"/>
          <w:szCs w:val="28"/>
          <w:u w:val="single"/>
        </w:rPr>
        <w:t>Right-Wing Political Movements</w:t>
      </w:r>
    </w:p>
    <w:p w14:paraId="0F8A70B5"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D129536" w14:textId="550F1E46"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Primarily, the right-wing challenge is not an attack on the Rule of Law in general but a political clash with</w:t>
      </w:r>
      <w:r w:rsidR="00ED16DD" w:rsidRPr="00D55E87">
        <w:rPr>
          <w:rFonts w:ascii="Arial" w:hAnsi="Arial" w:cs="Arial"/>
        </w:rPr>
        <w:t xml:space="preserve"> </w:t>
      </w:r>
      <w:r w:rsidRPr="00D55E87">
        <w:rPr>
          <w:rFonts w:ascii="Arial" w:hAnsi="Arial" w:cs="Arial"/>
        </w:rPr>
        <w:t xml:space="preserve">the </w:t>
      </w:r>
      <w:proofErr w:type="gramStart"/>
      <w:r w:rsidRPr="00D55E87">
        <w:rPr>
          <w:rFonts w:ascii="Arial" w:hAnsi="Arial" w:cs="Arial"/>
        </w:rPr>
        <w:t>particular liberal</w:t>
      </w:r>
      <w:proofErr w:type="gramEnd"/>
      <w:r w:rsidRPr="00D55E87">
        <w:rPr>
          <w:rFonts w:ascii="Arial" w:hAnsi="Arial" w:cs="Arial"/>
        </w:rPr>
        <w:t xml:space="preserve"> norms which the legal system seeks to reproduce.</w:t>
      </w:r>
    </w:p>
    <w:p w14:paraId="5CF32111"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76486AF4" w14:textId="144109CE" w:rsidR="00A674C7" w:rsidRPr="00D55E87" w:rsidRDefault="00EA2FC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In v</w:t>
      </w:r>
      <w:r w:rsidR="0067690B" w:rsidRPr="00D55E87">
        <w:rPr>
          <w:rFonts w:ascii="Arial" w:hAnsi="Arial" w:cs="Arial"/>
        </w:rPr>
        <w:t>arious places in the USA anti-abortion and anti-LGBTQ laws</w:t>
      </w:r>
      <w:r w:rsidRPr="00D55E87">
        <w:rPr>
          <w:rFonts w:ascii="Arial" w:hAnsi="Arial" w:cs="Arial"/>
        </w:rPr>
        <w:t xml:space="preserve"> are being introduced, while in </w:t>
      </w:r>
      <w:r w:rsidR="0067690B" w:rsidRPr="00D55E87">
        <w:rPr>
          <w:rFonts w:ascii="Arial" w:hAnsi="Arial" w:cs="Arial"/>
        </w:rPr>
        <w:t xml:space="preserve">the UK anti-protest </w:t>
      </w:r>
      <w:r w:rsidR="00E338ED" w:rsidRPr="00D55E87">
        <w:rPr>
          <w:rFonts w:ascii="Arial" w:hAnsi="Arial" w:cs="Arial"/>
        </w:rPr>
        <w:t xml:space="preserve">and anti-strike </w:t>
      </w:r>
      <w:r w:rsidR="0067690B" w:rsidRPr="00D55E87">
        <w:rPr>
          <w:rFonts w:ascii="Arial" w:hAnsi="Arial" w:cs="Arial"/>
        </w:rPr>
        <w:t xml:space="preserve">laws are going through Parliament. While these go against existing liberal norms, and cause internal conflict within the legal system, these </w:t>
      </w:r>
      <w:r w:rsidR="0067690B" w:rsidRPr="00D55E87">
        <w:rPr>
          <w:rFonts w:ascii="Arial" w:hAnsi="Arial" w:cs="Arial"/>
        </w:rPr>
        <w:lastRenderedPageBreak/>
        <w:t xml:space="preserve">examples show that the attack is not on the idea that Law should rule. </w:t>
      </w:r>
      <w:r w:rsidR="002F4ACF" w:rsidRPr="00D55E87">
        <w:rPr>
          <w:rFonts w:ascii="Arial" w:hAnsi="Arial" w:cs="Arial"/>
        </w:rPr>
        <w:t>Were</w:t>
      </w:r>
      <w:r w:rsidR="0067690B" w:rsidRPr="00D55E87">
        <w:rPr>
          <w:rFonts w:ascii="Arial" w:hAnsi="Arial" w:cs="Arial"/>
        </w:rPr>
        <w:t xml:space="preserve"> the legal system is transformed to contain authoritarian laws instead of liberal values, the tension would disappear and, unless significant opposition existed, the Rule of Law would no longer be fragile.</w:t>
      </w:r>
    </w:p>
    <w:p w14:paraId="533C146A"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2E8176D"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b/>
          <w:bCs/>
        </w:rPr>
        <w:t>1. Governments wanting unrestricted power</w:t>
      </w:r>
    </w:p>
    <w:p w14:paraId="5CD7802C" w14:textId="77777777" w:rsidR="00A674C7" w:rsidRPr="00D55E87" w:rsidRDefault="00A674C7" w:rsidP="00BA1EF7">
      <w:pPr>
        <w:pStyle w:val="Standard"/>
        <w:spacing w:before="100" w:beforeAutospacing="1" w:after="100" w:afterAutospacing="1" w:line="360" w:lineRule="auto"/>
        <w:contextualSpacing/>
        <w:rPr>
          <w:rFonts w:ascii="Arial" w:hAnsi="Arial" w:cs="Arial"/>
          <w:b/>
          <w:bCs/>
        </w:rPr>
      </w:pPr>
    </w:p>
    <w:p w14:paraId="525CEE14" w14:textId="2546F0A0" w:rsidR="00A674C7" w:rsidRPr="00D55E87" w:rsidRDefault="0067690B" w:rsidP="00BA1EF7">
      <w:pPr>
        <w:pStyle w:val="Standard"/>
        <w:spacing w:before="100" w:beforeAutospacing="1" w:after="100" w:afterAutospacing="1" w:line="360" w:lineRule="auto"/>
        <w:contextualSpacing/>
        <w:rPr>
          <w:rFonts w:ascii="Arial" w:hAnsi="Arial" w:cs="Arial"/>
          <w:b/>
        </w:rPr>
      </w:pPr>
      <w:r w:rsidRPr="00D55E87">
        <w:rPr>
          <w:rFonts w:ascii="Arial" w:hAnsi="Arial" w:cs="Arial"/>
        </w:rPr>
        <w:t>Successive UK Conservative Governments have openly opposed judicial review over the last decade</w:t>
      </w:r>
      <w:r w:rsidRPr="00D55E87">
        <w:rPr>
          <w:rFonts w:ascii="Arial" w:hAnsi="Arial" w:cs="Arial"/>
          <w:color w:val="000000"/>
        </w:rPr>
        <w:t>,</w:t>
      </w:r>
      <w:r w:rsidRPr="00D55E87">
        <w:rPr>
          <w:rStyle w:val="FootnoteReference"/>
          <w:rFonts w:ascii="Arial" w:hAnsi="Arial" w:cs="Arial"/>
          <w:color w:val="000000"/>
        </w:rPr>
        <w:footnoteReference w:id="15"/>
      </w:r>
      <w:r w:rsidRPr="00D55E87">
        <w:rPr>
          <w:rFonts w:ascii="Arial" w:hAnsi="Arial" w:cs="Arial"/>
        </w:rPr>
        <w:t xml:space="preserve"> including legislative efforts to limit its scope, reduce judicial powers, and weaken the Human Rights Act. </w:t>
      </w:r>
      <w:r w:rsidRPr="00D55E87">
        <w:rPr>
          <w:rFonts w:ascii="Arial" w:hAnsi="Arial" w:cs="Arial"/>
          <w:color w:val="000000"/>
        </w:rPr>
        <w:t>Multiple government ministers speak of ‘activist’ or ‘woke’ lawyers being a problem, supported by media commentators who have gone as far as smearing judges who uphold Parliamentary Democracy and the Rule of Law as ‘Enemies of the People’.</w:t>
      </w:r>
      <w:r w:rsidRPr="00D55E87">
        <w:rPr>
          <w:rStyle w:val="FootnoteReference"/>
          <w:rFonts w:ascii="Arial" w:hAnsi="Arial" w:cs="Arial"/>
          <w:color w:val="000000"/>
        </w:rPr>
        <w:footnoteReference w:id="16"/>
      </w:r>
      <w:r w:rsidRPr="00D55E87">
        <w:rPr>
          <w:rFonts w:ascii="Arial" w:hAnsi="Arial" w:cs="Arial"/>
          <w:color w:val="000000"/>
        </w:rPr>
        <w:t xml:space="preserve"> The opposition to judicial review is primarily because </w:t>
      </w:r>
      <w:r w:rsidR="00AC076B" w:rsidRPr="00D55E87">
        <w:rPr>
          <w:rFonts w:ascii="Arial" w:hAnsi="Arial" w:cs="Arial"/>
          <w:color w:val="000000"/>
        </w:rPr>
        <w:t xml:space="preserve">of the </w:t>
      </w:r>
      <w:r w:rsidRPr="00D55E87">
        <w:rPr>
          <w:rFonts w:ascii="Arial" w:hAnsi="Arial" w:cs="Arial"/>
          <w:color w:val="000000"/>
        </w:rPr>
        <w:t xml:space="preserve">liberal legal norms, such as the Human Rights Act, </w:t>
      </w:r>
      <w:r w:rsidR="00AC076B" w:rsidRPr="00D55E87">
        <w:rPr>
          <w:rFonts w:ascii="Arial" w:hAnsi="Arial" w:cs="Arial"/>
          <w:color w:val="000000"/>
        </w:rPr>
        <w:t xml:space="preserve">which </w:t>
      </w:r>
      <w:r w:rsidRPr="00D55E87">
        <w:rPr>
          <w:rFonts w:ascii="Arial" w:hAnsi="Arial" w:cs="Arial"/>
          <w:color w:val="000000"/>
        </w:rPr>
        <w:t>they do not wish to be constrained by</w:t>
      </w:r>
      <w:r w:rsidR="00AC076B" w:rsidRPr="00D55E87">
        <w:rPr>
          <w:rFonts w:ascii="Arial" w:hAnsi="Arial" w:cs="Arial"/>
          <w:color w:val="000000"/>
        </w:rPr>
        <w:t>.</w:t>
      </w:r>
    </w:p>
    <w:p w14:paraId="522643CA" w14:textId="77777777" w:rsidR="00A674C7" w:rsidRPr="00D55E87" w:rsidRDefault="00A674C7" w:rsidP="00BA1EF7">
      <w:pPr>
        <w:pStyle w:val="Standard"/>
        <w:spacing w:before="100" w:beforeAutospacing="1" w:after="100" w:afterAutospacing="1" w:line="360" w:lineRule="auto"/>
        <w:contextualSpacing/>
        <w:rPr>
          <w:rFonts w:ascii="Arial" w:hAnsi="Arial" w:cs="Arial"/>
          <w:color w:val="000000"/>
        </w:rPr>
      </w:pPr>
    </w:p>
    <w:p w14:paraId="21038403" w14:textId="625DE189"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color w:val="000000"/>
        </w:rPr>
        <w:t>UK governments have also sought to bypass democracy, most notably in attempting to trigger the Brexit process without going through Parliament and in the decision to suspend Parliament, both of which went to the Supreme Court.</w:t>
      </w:r>
      <w:r w:rsidRPr="00D55E87">
        <w:rPr>
          <w:rStyle w:val="FootnoteReference"/>
          <w:rFonts w:ascii="Arial" w:hAnsi="Arial" w:cs="Arial"/>
          <w:color w:val="000000"/>
        </w:rPr>
        <w:footnoteReference w:id="17"/>
      </w:r>
      <w:r w:rsidRPr="00D55E87">
        <w:rPr>
          <w:rFonts w:ascii="Arial" w:hAnsi="Arial" w:cs="Arial"/>
          <w:color w:val="000000"/>
        </w:rPr>
        <w:t xml:space="preserve"> There is also a</w:t>
      </w:r>
      <w:r w:rsidR="0020415C" w:rsidRPr="00D55E87">
        <w:rPr>
          <w:rFonts w:ascii="Arial" w:hAnsi="Arial" w:cs="Arial"/>
          <w:color w:val="000000"/>
        </w:rPr>
        <w:t xml:space="preserve">n increased use </w:t>
      </w:r>
      <w:r w:rsidRPr="00D55E87">
        <w:rPr>
          <w:rFonts w:ascii="Arial" w:hAnsi="Arial" w:cs="Arial"/>
          <w:color w:val="000000"/>
        </w:rPr>
        <w:t xml:space="preserve">of </w:t>
      </w:r>
      <w:r w:rsidR="0020415C" w:rsidRPr="00D55E87">
        <w:rPr>
          <w:rFonts w:ascii="Arial" w:hAnsi="Arial" w:cs="Arial"/>
          <w:color w:val="000000"/>
        </w:rPr>
        <w:t xml:space="preserve">ruling </w:t>
      </w:r>
      <w:r w:rsidR="00134652" w:rsidRPr="00D55E87">
        <w:rPr>
          <w:rFonts w:ascii="Arial" w:hAnsi="Arial" w:cs="Arial"/>
          <w:color w:val="000000"/>
        </w:rPr>
        <w:t xml:space="preserve">through </w:t>
      </w:r>
      <w:r w:rsidRPr="00D55E87">
        <w:rPr>
          <w:rFonts w:ascii="Arial" w:hAnsi="Arial" w:cs="Arial"/>
          <w:color w:val="000000"/>
        </w:rPr>
        <w:t xml:space="preserve">regulations made by statutory instrument, </w:t>
      </w:r>
      <w:r w:rsidR="00DB5B15" w:rsidRPr="00D55E87">
        <w:rPr>
          <w:rFonts w:ascii="Arial" w:hAnsi="Arial" w:cs="Arial"/>
          <w:color w:val="000000"/>
        </w:rPr>
        <w:t xml:space="preserve">such as the </w:t>
      </w:r>
      <w:r w:rsidRPr="00D55E87">
        <w:rPr>
          <w:rFonts w:ascii="Arial" w:hAnsi="Arial" w:cs="Arial"/>
          <w:color w:val="000000"/>
        </w:rPr>
        <w:t xml:space="preserve">pandemic-related </w:t>
      </w:r>
      <w:r w:rsidR="00DB5B15" w:rsidRPr="00D55E87">
        <w:rPr>
          <w:rFonts w:ascii="Arial" w:hAnsi="Arial" w:cs="Arial"/>
          <w:color w:val="000000"/>
        </w:rPr>
        <w:t xml:space="preserve">emergency </w:t>
      </w:r>
      <w:r w:rsidRPr="00D55E87">
        <w:rPr>
          <w:rFonts w:ascii="Arial" w:hAnsi="Arial" w:cs="Arial"/>
          <w:color w:val="000000"/>
        </w:rPr>
        <w:t>restrictions</w:t>
      </w:r>
      <w:r w:rsidRPr="00D55E87">
        <w:rPr>
          <w:rStyle w:val="FootnoteReference"/>
          <w:rFonts w:ascii="Arial" w:hAnsi="Arial" w:cs="Arial"/>
          <w:color w:val="000000"/>
        </w:rPr>
        <w:footnoteReference w:id="18"/>
      </w:r>
      <w:r w:rsidRPr="00D55E87">
        <w:rPr>
          <w:rFonts w:ascii="Arial" w:hAnsi="Arial" w:cs="Arial"/>
          <w:color w:val="000000"/>
        </w:rPr>
        <w:t xml:space="preserve"> and through the</w:t>
      </w:r>
      <w:r w:rsidR="00942813" w:rsidRPr="00D55E87">
        <w:rPr>
          <w:rFonts w:ascii="Arial" w:hAnsi="Arial" w:cs="Arial"/>
          <w:color w:val="000000"/>
        </w:rPr>
        <w:t xml:space="preserve"> sweeping</w:t>
      </w:r>
      <w:r w:rsidRPr="00D55E87">
        <w:rPr>
          <w:rFonts w:ascii="Arial" w:hAnsi="Arial" w:cs="Arial"/>
          <w:color w:val="000000"/>
        </w:rPr>
        <w:t xml:space="preserve"> ‘Henry VIII’ powers </w:t>
      </w:r>
      <w:r w:rsidR="00AD61C0" w:rsidRPr="00D55E87">
        <w:rPr>
          <w:rFonts w:ascii="Arial" w:hAnsi="Arial" w:cs="Arial"/>
          <w:color w:val="000000"/>
        </w:rPr>
        <w:t>for</w:t>
      </w:r>
      <w:r w:rsidR="00BB3B78" w:rsidRPr="00D55E87">
        <w:rPr>
          <w:rFonts w:ascii="Arial" w:hAnsi="Arial" w:cs="Arial"/>
          <w:color w:val="000000"/>
        </w:rPr>
        <w:t xml:space="preserve"> amend</w:t>
      </w:r>
      <w:r w:rsidR="00942813" w:rsidRPr="00D55E87">
        <w:rPr>
          <w:rFonts w:ascii="Arial" w:hAnsi="Arial" w:cs="Arial"/>
          <w:color w:val="000000"/>
        </w:rPr>
        <w:t>ing</w:t>
      </w:r>
      <w:r w:rsidR="00BB3B78" w:rsidRPr="00D55E87">
        <w:rPr>
          <w:rFonts w:ascii="Arial" w:hAnsi="Arial" w:cs="Arial"/>
          <w:color w:val="000000"/>
        </w:rPr>
        <w:t xml:space="preserve"> </w:t>
      </w:r>
      <w:r w:rsidR="00942813" w:rsidRPr="00D55E87">
        <w:rPr>
          <w:rFonts w:ascii="Arial" w:hAnsi="Arial" w:cs="Arial"/>
          <w:color w:val="000000"/>
        </w:rPr>
        <w:t>retained EU laws</w:t>
      </w:r>
      <w:r w:rsidRPr="00D55E87">
        <w:rPr>
          <w:rFonts w:ascii="Arial" w:hAnsi="Arial" w:cs="Arial"/>
          <w:color w:val="000000"/>
        </w:rPr>
        <w:t>.</w:t>
      </w:r>
      <w:r w:rsidRPr="00D55E87">
        <w:rPr>
          <w:rStyle w:val="FootnoteReference"/>
          <w:rFonts w:ascii="Arial" w:hAnsi="Arial" w:cs="Arial"/>
          <w:color w:val="000000"/>
        </w:rPr>
        <w:footnoteReference w:id="19"/>
      </w:r>
      <w:r w:rsidRPr="00D55E87">
        <w:rPr>
          <w:rFonts w:ascii="Arial" w:hAnsi="Arial" w:cs="Arial"/>
          <w:color w:val="000000"/>
        </w:rPr>
        <w:t xml:space="preserve"> </w:t>
      </w:r>
      <w:r w:rsidR="002734D4" w:rsidRPr="00D55E87">
        <w:rPr>
          <w:rFonts w:ascii="Arial" w:hAnsi="Arial" w:cs="Arial"/>
          <w:color w:val="000000"/>
        </w:rPr>
        <w:t xml:space="preserve">This bypassing of Parliament goes against </w:t>
      </w:r>
      <w:r w:rsidR="00E65F85" w:rsidRPr="00D55E87">
        <w:rPr>
          <w:rFonts w:ascii="Arial" w:hAnsi="Arial" w:cs="Arial"/>
          <w:color w:val="000000"/>
        </w:rPr>
        <w:t>current</w:t>
      </w:r>
      <w:r w:rsidRPr="00D55E87">
        <w:rPr>
          <w:rFonts w:ascii="Arial" w:hAnsi="Arial" w:cs="Arial"/>
          <w:color w:val="000000"/>
        </w:rPr>
        <w:t xml:space="preserve"> Rule of Law </w:t>
      </w:r>
      <w:r w:rsidR="00E65F85" w:rsidRPr="00D55E87">
        <w:rPr>
          <w:rFonts w:ascii="Arial" w:hAnsi="Arial" w:cs="Arial"/>
          <w:color w:val="000000"/>
        </w:rPr>
        <w:t>norms</w:t>
      </w:r>
      <w:r w:rsidR="007F1137" w:rsidRPr="00D55E87">
        <w:rPr>
          <w:rFonts w:ascii="Arial" w:hAnsi="Arial" w:cs="Arial"/>
          <w:color w:val="000000"/>
        </w:rPr>
        <w:t xml:space="preserve">, </w:t>
      </w:r>
      <w:r w:rsidR="000250CB" w:rsidRPr="00D55E87">
        <w:rPr>
          <w:rFonts w:ascii="Arial" w:hAnsi="Arial" w:cs="Arial"/>
          <w:color w:val="000000"/>
        </w:rPr>
        <w:t xml:space="preserve">and is </w:t>
      </w:r>
      <w:r w:rsidR="00A460D2" w:rsidRPr="00D55E87">
        <w:rPr>
          <w:rFonts w:ascii="Arial" w:hAnsi="Arial" w:cs="Arial"/>
          <w:color w:val="000000"/>
        </w:rPr>
        <w:t xml:space="preserve">likely </w:t>
      </w:r>
      <w:r w:rsidR="007F1137" w:rsidRPr="00D55E87">
        <w:rPr>
          <w:rFonts w:ascii="Arial" w:hAnsi="Arial" w:cs="Arial"/>
          <w:color w:val="000000"/>
        </w:rPr>
        <w:t xml:space="preserve">to also </w:t>
      </w:r>
      <w:r w:rsidR="00A460D2" w:rsidRPr="00D55E87">
        <w:rPr>
          <w:rFonts w:ascii="Arial" w:hAnsi="Arial" w:cs="Arial"/>
          <w:color w:val="000000"/>
        </w:rPr>
        <w:t>lead to lower quality laws falling foul of various Rule of Law principles</w:t>
      </w:r>
      <w:r w:rsidR="00D5034B" w:rsidRPr="00D55E87">
        <w:rPr>
          <w:rFonts w:ascii="Arial" w:hAnsi="Arial" w:cs="Arial"/>
          <w:color w:val="000000"/>
        </w:rPr>
        <w:t xml:space="preserve"> </w:t>
      </w:r>
      <w:r w:rsidR="00A460D2" w:rsidRPr="00D55E87">
        <w:rPr>
          <w:rFonts w:ascii="Arial" w:hAnsi="Arial" w:cs="Arial"/>
          <w:color w:val="000000"/>
        </w:rPr>
        <w:t>by avoiding parliamentary review and debate</w:t>
      </w:r>
      <w:r w:rsidR="00D5034B" w:rsidRPr="00D55E87">
        <w:rPr>
          <w:rFonts w:ascii="Arial" w:hAnsi="Arial" w:cs="Arial"/>
          <w:color w:val="000000"/>
        </w:rPr>
        <w:t>.</w:t>
      </w:r>
    </w:p>
    <w:p w14:paraId="63F79082" w14:textId="77777777" w:rsidR="00A674C7" w:rsidRPr="00D55E87" w:rsidRDefault="00A674C7" w:rsidP="00BA1EF7">
      <w:pPr>
        <w:pStyle w:val="Standard"/>
        <w:spacing w:before="100" w:beforeAutospacing="1" w:after="100" w:afterAutospacing="1" w:line="360" w:lineRule="auto"/>
        <w:contextualSpacing/>
        <w:rPr>
          <w:rFonts w:ascii="Arial" w:hAnsi="Arial" w:cs="Arial"/>
          <w:color w:val="000000"/>
        </w:rPr>
      </w:pPr>
    </w:p>
    <w:p w14:paraId="2B6FB806"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b/>
          <w:bCs/>
          <w:color w:val="000000"/>
        </w:rPr>
        <w:lastRenderedPageBreak/>
        <w:t>2. No Human Rights for Undesirables</w:t>
      </w:r>
    </w:p>
    <w:p w14:paraId="77F38E20" w14:textId="77777777" w:rsidR="00A674C7" w:rsidRPr="00D55E87" w:rsidRDefault="00A674C7" w:rsidP="00BA1EF7">
      <w:pPr>
        <w:pStyle w:val="Standard"/>
        <w:spacing w:before="100" w:beforeAutospacing="1" w:after="100" w:afterAutospacing="1" w:line="360" w:lineRule="auto"/>
        <w:contextualSpacing/>
        <w:rPr>
          <w:rFonts w:ascii="Arial" w:hAnsi="Arial" w:cs="Arial"/>
          <w:color w:val="000000"/>
        </w:rPr>
      </w:pPr>
    </w:p>
    <w:p w14:paraId="55A05A8F" w14:textId="396BA1C0"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color w:val="000000"/>
        </w:rPr>
        <w:t>A second source of conflict with the current Rule of Law is that fundamental liberal rights and human rights law</w:t>
      </w:r>
      <w:r w:rsidR="00591138" w:rsidRPr="00D55E87">
        <w:rPr>
          <w:rFonts w:ascii="Arial" w:hAnsi="Arial" w:cs="Arial"/>
          <w:color w:val="000000"/>
        </w:rPr>
        <w:t>s</w:t>
      </w:r>
      <w:r w:rsidRPr="00D55E87">
        <w:rPr>
          <w:rFonts w:ascii="Arial" w:hAnsi="Arial" w:cs="Arial"/>
          <w:color w:val="000000"/>
        </w:rPr>
        <w:t xml:space="preserve"> protect groups which these political movements target. These </w:t>
      </w:r>
      <w:proofErr w:type="gramStart"/>
      <w:r w:rsidRPr="00D55E87">
        <w:rPr>
          <w:rFonts w:ascii="Arial" w:hAnsi="Arial" w:cs="Arial"/>
          <w:color w:val="000000"/>
        </w:rPr>
        <w:t>include:</w:t>
      </w:r>
      <w:proofErr w:type="gramEnd"/>
      <w:r w:rsidRPr="00D55E87">
        <w:rPr>
          <w:rFonts w:ascii="Arial" w:hAnsi="Arial" w:cs="Arial"/>
          <w:color w:val="000000"/>
        </w:rPr>
        <w:t xml:space="preserve"> </w:t>
      </w:r>
      <w:proofErr w:type="gramStart"/>
      <w:r w:rsidRPr="00D55E87">
        <w:rPr>
          <w:rFonts w:ascii="Arial" w:hAnsi="Arial" w:cs="Arial"/>
          <w:color w:val="000000"/>
        </w:rPr>
        <w:t>particular ethnic</w:t>
      </w:r>
      <w:proofErr w:type="gramEnd"/>
      <w:r w:rsidRPr="00D55E87">
        <w:rPr>
          <w:rFonts w:ascii="Arial" w:hAnsi="Arial" w:cs="Arial"/>
          <w:color w:val="000000"/>
        </w:rPr>
        <w:t xml:space="preserve"> groups; immigrants’ rights</w:t>
      </w:r>
      <w:r w:rsidR="00CB3DEA" w:rsidRPr="00D55E87">
        <w:rPr>
          <w:rFonts w:ascii="Arial" w:hAnsi="Arial" w:cs="Arial"/>
          <w:color w:val="000000"/>
        </w:rPr>
        <w:t xml:space="preserve"> (</w:t>
      </w:r>
      <w:proofErr w:type="gramStart"/>
      <w:r w:rsidRPr="00D55E87">
        <w:rPr>
          <w:rFonts w:ascii="Arial" w:hAnsi="Arial" w:cs="Arial"/>
          <w:color w:val="000000"/>
        </w:rPr>
        <w:t xml:space="preserve">in particular </w:t>
      </w:r>
      <w:r w:rsidR="007C6815" w:rsidRPr="00D55E87">
        <w:rPr>
          <w:rFonts w:ascii="Arial" w:hAnsi="Arial" w:cs="Arial"/>
          <w:color w:val="000000"/>
        </w:rPr>
        <w:t>regarding</w:t>
      </w:r>
      <w:proofErr w:type="gramEnd"/>
      <w:r w:rsidR="007C6815" w:rsidRPr="00D55E87">
        <w:rPr>
          <w:rFonts w:ascii="Arial" w:hAnsi="Arial" w:cs="Arial"/>
          <w:color w:val="000000"/>
        </w:rPr>
        <w:t xml:space="preserve"> </w:t>
      </w:r>
      <w:r w:rsidRPr="00D55E87">
        <w:rPr>
          <w:rFonts w:ascii="Arial" w:hAnsi="Arial" w:cs="Arial"/>
          <w:color w:val="000000"/>
        </w:rPr>
        <w:t>deportation</w:t>
      </w:r>
      <w:r w:rsidR="00CB3DEA" w:rsidRPr="00D55E87">
        <w:rPr>
          <w:rFonts w:ascii="Arial" w:hAnsi="Arial" w:cs="Arial"/>
          <w:color w:val="000000"/>
        </w:rPr>
        <w:t>)</w:t>
      </w:r>
      <w:r w:rsidRPr="00D55E87">
        <w:rPr>
          <w:rFonts w:ascii="Arial" w:hAnsi="Arial" w:cs="Arial"/>
          <w:color w:val="000000"/>
        </w:rPr>
        <w:t xml:space="preserve">; asylum seekers; </w:t>
      </w:r>
      <w:r w:rsidR="00B33975" w:rsidRPr="00D55E87">
        <w:rPr>
          <w:rFonts w:ascii="Arial" w:hAnsi="Arial" w:cs="Arial"/>
          <w:color w:val="000000"/>
        </w:rPr>
        <w:t xml:space="preserve">workers’ </w:t>
      </w:r>
      <w:r w:rsidRPr="00D55E87">
        <w:rPr>
          <w:rFonts w:ascii="Arial" w:hAnsi="Arial" w:cs="Arial"/>
          <w:color w:val="000000"/>
        </w:rPr>
        <w:t xml:space="preserve">right to strike; terrorists </w:t>
      </w:r>
      <w:r w:rsidR="00892A63" w:rsidRPr="00D55E87">
        <w:rPr>
          <w:rFonts w:ascii="Arial" w:hAnsi="Arial" w:cs="Arial"/>
          <w:color w:val="000000"/>
        </w:rPr>
        <w:t xml:space="preserve">rights </w:t>
      </w:r>
      <w:r w:rsidRPr="00D55E87">
        <w:rPr>
          <w:rFonts w:ascii="Arial" w:hAnsi="Arial" w:cs="Arial"/>
          <w:color w:val="000000"/>
        </w:rPr>
        <w:t>(</w:t>
      </w:r>
      <w:proofErr w:type="gramStart"/>
      <w:r w:rsidRPr="00D55E87">
        <w:rPr>
          <w:rFonts w:ascii="Arial" w:hAnsi="Arial" w:cs="Arial"/>
          <w:color w:val="000000"/>
        </w:rPr>
        <w:t xml:space="preserve">in particular </w:t>
      </w:r>
      <w:r w:rsidR="00892A63" w:rsidRPr="00D55E87">
        <w:rPr>
          <w:rFonts w:ascii="Arial" w:hAnsi="Arial" w:cs="Arial"/>
          <w:color w:val="000000"/>
        </w:rPr>
        <w:t>regarding</w:t>
      </w:r>
      <w:proofErr w:type="gramEnd"/>
      <w:r w:rsidR="00892A63" w:rsidRPr="00D55E87">
        <w:rPr>
          <w:rFonts w:ascii="Arial" w:hAnsi="Arial" w:cs="Arial"/>
          <w:color w:val="000000"/>
        </w:rPr>
        <w:t xml:space="preserve"> deportation and inhuman or degrading treatment and punishment).</w:t>
      </w:r>
    </w:p>
    <w:p w14:paraId="03BF0063" w14:textId="77777777" w:rsidR="00A674C7" w:rsidRPr="00D55E87" w:rsidRDefault="00A674C7" w:rsidP="00BA1EF7">
      <w:pPr>
        <w:pStyle w:val="Standard"/>
        <w:spacing w:before="100" w:beforeAutospacing="1" w:after="100" w:afterAutospacing="1" w:line="360" w:lineRule="auto"/>
        <w:contextualSpacing/>
        <w:rPr>
          <w:rFonts w:ascii="Arial" w:hAnsi="Arial" w:cs="Arial"/>
          <w:color w:val="000000"/>
        </w:rPr>
      </w:pPr>
    </w:p>
    <w:p w14:paraId="17C77E64" w14:textId="25F52EA7"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color w:val="000000"/>
        </w:rPr>
        <w:t xml:space="preserve">These </w:t>
      </w:r>
      <w:r w:rsidR="002920B4" w:rsidRPr="00D55E87">
        <w:rPr>
          <w:rFonts w:ascii="Arial" w:hAnsi="Arial" w:cs="Arial"/>
          <w:color w:val="000000"/>
        </w:rPr>
        <w:t xml:space="preserve">attacks on these groups’ rights are ideologically terrifying, going </w:t>
      </w:r>
      <w:r w:rsidRPr="00D55E87">
        <w:rPr>
          <w:rFonts w:ascii="Arial" w:hAnsi="Arial" w:cs="Arial"/>
          <w:color w:val="000000"/>
        </w:rPr>
        <w:t xml:space="preserve">against the very point of human rights and the </w:t>
      </w:r>
      <w:r w:rsidR="008E65A9" w:rsidRPr="00D55E87">
        <w:rPr>
          <w:rFonts w:ascii="Arial" w:hAnsi="Arial" w:cs="Arial"/>
          <w:color w:val="000000"/>
        </w:rPr>
        <w:t>equality in liberalism</w:t>
      </w:r>
      <w:r w:rsidRPr="00D55E87">
        <w:rPr>
          <w:rFonts w:ascii="Arial" w:hAnsi="Arial" w:cs="Arial"/>
          <w:color w:val="000000"/>
        </w:rPr>
        <w:t xml:space="preserve">: that </w:t>
      </w:r>
      <w:r w:rsidRPr="00D55E87">
        <w:rPr>
          <w:rFonts w:ascii="Arial" w:hAnsi="Arial" w:cs="Arial"/>
          <w:i/>
          <w:iCs/>
          <w:color w:val="000000"/>
        </w:rPr>
        <w:t xml:space="preserve">everyone </w:t>
      </w:r>
      <w:r w:rsidRPr="00D55E87">
        <w:rPr>
          <w:rFonts w:ascii="Arial" w:hAnsi="Arial" w:cs="Arial"/>
          <w:color w:val="000000"/>
        </w:rPr>
        <w:t>is protected. Parallels can be drawn with Hannah Arendt’s description of concept of the ‘objective enemy’ for a totalitarian ideology,</w:t>
      </w:r>
      <w:r w:rsidRPr="00D55E87">
        <w:rPr>
          <w:rStyle w:val="FootnoteReference"/>
          <w:rFonts w:ascii="Arial" w:hAnsi="Arial" w:cs="Arial"/>
          <w:color w:val="000000"/>
        </w:rPr>
        <w:footnoteReference w:id="20"/>
      </w:r>
      <w:r w:rsidRPr="00D55E87">
        <w:rPr>
          <w:rFonts w:ascii="Arial" w:hAnsi="Arial" w:cs="Arial"/>
          <w:color w:val="000000"/>
        </w:rPr>
        <w:t xml:space="preserve"> with scapegoats created and the aim of ‘putting certain categories of people outside the protection of the law’.</w:t>
      </w:r>
      <w:r w:rsidRPr="00D55E87">
        <w:rPr>
          <w:rStyle w:val="FootnoteReference"/>
          <w:rFonts w:ascii="Arial" w:hAnsi="Arial" w:cs="Arial"/>
          <w:color w:val="000000"/>
        </w:rPr>
        <w:footnoteReference w:id="21"/>
      </w:r>
      <w:r w:rsidR="007D4C70" w:rsidRPr="00D55E87">
        <w:rPr>
          <w:rFonts w:ascii="Arial" w:hAnsi="Arial" w:cs="Arial"/>
        </w:rPr>
        <w:t xml:space="preserve"> As these rights are core norms in a liberal legal system, whether they are attacked directly or collaterally, they weaken the current Rule of Law.</w:t>
      </w:r>
    </w:p>
    <w:p w14:paraId="090C8CC8"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1819A91"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28"/>
          <w:szCs w:val="28"/>
          <w:u w:val="single"/>
        </w:rPr>
      </w:pPr>
      <w:r w:rsidRPr="00D55E87">
        <w:rPr>
          <w:rFonts w:ascii="Arial" w:hAnsi="Arial" w:cs="Arial"/>
          <w:b/>
          <w:bCs/>
          <w:sz w:val="28"/>
          <w:szCs w:val="28"/>
          <w:u w:val="single"/>
        </w:rPr>
        <w:t>Corporate Power</w:t>
      </w:r>
    </w:p>
    <w:p w14:paraId="24137236" w14:textId="77777777" w:rsidR="00A674C7" w:rsidRPr="00D55E87" w:rsidRDefault="00A674C7" w:rsidP="00BA1EF7">
      <w:pPr>
        <w:pStyle w:val="Standard"/>
        <w:spacing w:before="100" w:beforeAutospacing="1" w:after="100" w:afterAutospacing="1" w:line="360" w:lineRule="auto"/>
        <w:contextualSpacing/>
        <w:rPr>
          <w:rFonts w:ascii="Arial" w:hAnsi="Arial" w:cs="Arial"/>
          <w:b/>
          <w:bCs/>
          <w:sz w:val="28"/>
          <w:szCs w:val="28"/>
          <w:u w:val="single"/>
        </w:rPr>
      </w:pPr>
    </w:p>
    <w:p w14:paraId="56A30147" w14:textId="14D0F788" w:rsidR="00A674C7" w:rsidRPr="00D55E87" w:rsidRDefault="0006282B" w:rsidP="00BF34A6">
      <w:pPr>
        <w:pStyle w:val="Standard"/>
        <w:spacing w:before="100" w:beforeAutospacing="1" w:after="100" w:afterAutospacing="1" w:line="360" w:lineRule="auto"/>
        <w:contextualSpacing/>
        <w:rPr>
          <w:rFonts w:ascii="Arial" w:hAnsi="Arial" w:cs="Arial"/>
        </w:rPr>
      </w:pPr>
      <w:r w:rsidRPr="00D55E87">
        <w:rPr>
          <w:rFonts w:ascii="Arial" w:hAnsi="Arial" w:cs="Arial"/>
        </w:rPr>
        <w:t>C</w:t>
      </w:r>
      <w:r w:rsidR="0067690B" w:rsidRPr="00D55E87">
        <w:rPr>
          <w:rFonts w:ascii="Arial" w:hAnsi="Arial" w:cs="Arial"/>
        </w:rPr>
        <w:t xml:space="preserve">orporations have </w:t>
      </w:r>
      <w:r w:rsidR="00135C57" w:rsidRPr="00D55E87">
        <w:rPr>
          <w:rFonts w:ascii="Arial" w:hAnsi="Arial" w:cs="Arial"/>
        </w:rPr>
        <w:t xml:space="preserve">become </w:t>
      </w:r>
      <w:r w:rsidR="00A34B17" w:rsidRPr="00D55E87">
        <w:rPr>
          <w:rFonts w:ascii="Arial" w:hAnsi="Arial" w:cs="Arial"/>
        </w:rPr>
        <w:t xml:space="preserve">far </w:t>
      </w:r>
      <w:r w:rsidR="00135C57" w:rsidRPr="00D55E87">
        <w:rPr>
          <w:rFonts w:ascii="Arial" w:hAnsi="Arial" w:cs="Arial"/>
        </w:rPr>
        <w:t xml:space="preserve">more powerful </w:t>
      </w:r>
      <w:r w:rsidR="0067690B" w:rsidRPr="00D55E87">
        <w:rPr>
          <w:rFonts w:ascii="Arial" w:hAnsi="Arial" w:cs="Arial"/>
        </w:rPr>
        <w:t xml:space="preserve">while </w:t>
      </w:r>
      <w:r w:rsidR="00BF34A6" w:rsidRPr="00D55E87">
        <w:rPr>
          <w:rFonts w:ascii="Arial" w:hAnsi="Arial" w:cs="Arial"/>
        </w:rPr>
        <w:t xml:space="preserve">the Law has much less control over the exercise of economic power, </w:t>
      </w:r>
      <w:r w:rsidR="00383A4D" w:rsidRPr="00D55E87">
        <w:rPr>
          <w:rFonts w:ascii="Arial" w:hAnsi="Arial" w:cs="Arial"/>
        </w:rPr>
        <w:t xml:space="preserve">which has shifted </w:t>
      </w:r>
      <w:r w:rsidR="00BF34A6" w:rsidRPr="00D55E87">
        <w:rPr>
          <w:rFonts w:ascii="Arial" w:hAnsi="Arial" w:cs="Arial"/>
        </w:rPr>
        <w:t xml:space="preserve">us away from </w:t>
      </w:r>
      <w:r w:rsidR="0067690B" w:rsidRPr="00D55E87">
        <w:rPr>
          <w:rFonts w:ascii="Arial" w:hAnsi="Arial" w:cs="Arial"/>
        </w:rPr>
        <w:t>the idea of the Rule of Law</w:t>
      </w:r>
      <w:r w:rsidR="00D740E9" w:rsidRPr="00D55E87">
        <w:rPr>
          <w:rFonts w:ascii="Arial" w:hAnsi="Arial" w:cs="Arial"/>
        </w:rPr>
        <w:t>.</w:t>
      </w:r>
      <w:r w:rsidR="0060740F" w:rsidRPr="00D55E87">
        <w:rPr>
          <w:rFonts w:ascii="Arial" w:hAnsi="Arial" w:cs="Arial"/>
        </w:rPr>
        <w:t xml:space="preserve"> </w:t>
      </w:r>
    </w:p>
    <w:p w14:paraId="28086A55" w14:textId="77777777" w:rsidR="009D4274" w:rsidRPr="00D55E87" w:rsidRDefault="009D4274" w:rsidP="00BA1EF7">
      <w:pPr>
        <w:pStyle w:val="Standard"/>
        <w:spacing w:before="100" w:beforeAutospacing="1" w:after="100" w:afterAutospacing="1" w:line="360" w:lineRule="auto"/>
        <w:contextualSpacing/>
        <w:rPr>
          <w:rFonts w:ascii="Arial" w:hAnsi="Arial" w:cs="Arial"/>
        </w:rPr>
      </w:pPr>
    </w:p>
    <w:p w14:paraId="4674E413" w14:textId="18AB21D2" w:rsidR="00A674C7" w:rsidRPr="00D55E87" w:rsidRDefault="00274BF9"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b/>
          <w:bCs/>
        </w:rPr>
        <w:t>3</w:t>
      </w:r>
      <w:r w:rsidR="0067690B" w:rsidRPr="00D55E87">
        <w:rPr>
          <w:rFonts w:ascii="Arial" w:hAnsi="Arial" w:cs="Arial"/>
          <w:b/>
          <w:bCs/>
        </w:rPr>
        <w:t>. Growth of Corporate Power</w:t>
      </w:r>
    </w:p>
    <w:p w14:paraId="0D5E7A3B"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722AA5F" w14:textId="6A2ED835" w:rsidR="00522D3A" w:rsidRPr="00D55E87" w:rsidRDefault="0067690B" w:rsidP="002C7B64">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The last century has </w:t>
      </w:r>
      <w:r w:rsidR="00E4328E" w:rsidRPr="00D55E87">
        <w:rPr>
          <w:rFonts w:ascii="Arial" w:hAnsi="Arial" w:cs="Arial"/>
        </w:rPr>
        <w:t>seen</w:t>
      </w:r>
      <w:r w:rsidRPr="00D55E87">
        <w:rPr>
          <w:rFonts w:ascii="Arial" w:hAnsi="Arial" w:cs="Arial"/>
        </w:rPr>
        <w:t xml:space="preserve"> a huge increase in corporate power and the dominance of large, financialised, usually multinational corporations. ‘The economy’ </w:t>
      </w:r>
      <w:r w:rsidR="00B140EB" w:rsidRPr="00D55E87">
        <w:rPr>
          <w:rFonts w:ascii="Arial" w:hAnsi="Arial" w:cs="Arial"/>
        </w:rPr>
        <w:t xml:space="preserve">now </w:t>
      </w:r>
      <w:r w:rsidRPr="00D55E87">
        <w:rPr>
          <w:rFonts w:ascii="Arial" w:hAnsi="Arial" w:cs="Arial"/>
        </w:rPr>
        <w:t xml:space="preserve">plays a large role in society and corporate activity has a huge influence on our culture and social order, </w:t>
      </w:r>
      <w:r w:rsidR="00076B43" w:rsidRPr="00D55E87">
        <w:rPr>
          <w:rFonts w:ascii="Arial" w:hAnsi="Arial" w:cs="Arial"/>
        </w:rPr>
        <w:t xml:space="preserve">especially when </w:t>
      </w:r>
      <w:r w:rsidRPr="00D55E87">
        <w:rPr>
          <w:rFonts w:ascii="Arial" w:hAnsi="Arial" w:cs="Arial"/>
        </w:rPr>
        <w:t xml:space="preserve">corporations </w:t>
      </w:r>
      <w:r w:rsidR="00076B43" w:rsidRPr="00D55E87">
        <w:rPr>
          <w:rFonts w:ascii="Arial" w:hAnsi="Arial" w:cs="Arial"/>
        </w:rPr>
        <w:t xml:space="preserve">have </w:t>
      </w:r>
      <w:r w:rsidRPr="00D55E87">
        <w:rPr>
          <w:rFonts w:ascii="Arial" w:hAnsi="Arial" w:cs="Arial"/>
        </w:rPr>
        <w:t xml:space="preserve">monopoly power. </w:t>
      </w:r>
      <w:r w:rsidR="00A617EB" w:rsidRPr="00D55E87">
        <w:rPr>
          <w:rFonts w:ascii="Arial" w:hAnsi="Arial" w:cs="Arial"/>
        </w:rPr>
        <w:t xml:space="preserve">Linked to this is the ‘deregulation’ agenda, based on the neoliberal idea that businesses should also be free </w:t>
      </w:r>
      <w:r w:rsidR="009809DF" w:rsidRPr="00D55E87">
        <w:rPr>
          <w:rFonts w:ascii="Arial" w:hAnsi="Arial" w:cs="Arial"/>
        </w:rPr>
        <w:t>and state involvement should be a minimum</w:t>
      </w:r>
      <w:r w:rsidR="000A1AF3" w:rsidRPr="00D55E87">
        <w:rPr>
          <w:rFonts w:ascii="Arial" w:hAnsi="Arial" w:cs="Arial"/>
        </w:rPr>
        <w:t>.</w:t>
      </w:r>
      <w:r w:rsidR="0080604D" w:rsidRPr="00D55E87">
        <w:rPr>
          <w:rStyle w:val="FootnoteReference"/>
          <w:rFonts w:ascii="Arial" w:hAnsi="Arial" w:cs="Arial"/>
        </w:rPr>
        <w:footnoteReference w:id="22"/>
      </w:r>
      <w:r w:rsidR="009809DF" w:rsidRPr="00D55E87">
        <w:rPr>
          <w:rFonts w:ascii="Arial" w:hAnsi="Arial" w:cs="Arial"/>
        </w:rPr>
        <w:t xml:space="preserve"> </w:t>
      </w:r>
      <w:r w:rsidR="000A1AF3" w:rsidRPr="00D55E87">
        <w:rPr>
          <w:rFonts w:ascii="Arial" w:hAnsi="Arial" w:cs="Arial"/>
        </w:rPr>
        <w:t xml:space="preserve">This has involved an intentional reduction of state </w:t>
      </w:r>
      <w:r w:rsidR="000A1AF3" w:rsidRPr="00D55E87">
        <w:rPr>
          <w:rFonts w:ascii="Arial" w:hAnsi="Arial" w:cs="Arial"/>
        </w:rPr>
        <w:lastRenderedPageBreak/>
        <w:t xml:space="preserve">regulation of business activity, and is </w:t>
      </w:r>
      <w:r w:rsidR="009809DF" w:rsidRPr="00D55E87">
        <w:rPr>
          <w:rFonts w:ascii="Arial" w:hAnsi="Arial" w:cs="Arial"/>
        </w:rPr>
        <w:t>still prevalent in the policy agenda of reducing ‘red tape’</w:t>
      </w:r>
      <w:r w:rsidR="000A1AF3" w:rsidRPr="00D55E87">
        <w:rPr>
          <w:rFonts w:ascii="Arial" w:hAnsi="Arial" w:cs="Arial"/>
        </w:rPr>
        <w:t>.</w:t>
      </w:r>
    </w:p>
    <w:p w14:paraId="43028E71" w14:textId="77777777" w:rsidR="00522D3A" w:rsidRPr="00D55E87" w:rsidRDefault="00522D3A" w:rsidP="002C7B64">
      <w:pPr>
        <w:pStyle w:val="Standard"/>
        <w:spacing w:before="100" w:beforeAutospacing="1" w:after="100" w:afterAutospacing="1" w:line="360" w:lineRule="auto"/>
        <w:contextualSpacing/>
        <w:rPr>
          <w:rFonts w:ascii="Arial" w:hAnsi="Arial" w:cs="Arial"/>
        </w:rPr>
      </w:pPr>
    </w:p>
    <w:p w14:paraId="26B3057D" w14:textId="5541BC2B" w:rsidR="002C7B64" w:rsidRPr="00D55E87" w:rsidRDefault="00C474BB" w:rsidP="002C7B64">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Financialised business are simply amoral vehicles for a return on investment. </w:t>
      </w:r>
      <w:r w:rsidR="002C7B64" w:rsidRPr="00D55E87">
        <w:rPr>
          <w:rFonts w:ascii="Arial" w:hAnsi="Arial" w:cs="Arial"/>
        </w:rPr>
        <w:t xml:space="preserve">For these corporations, business ethics are not significant: the primary drive is revenue, </w:t>
      </w:r>
      <w:r w:rsidR="00031189" w:rsidRPr="00D55E87">
        <w:rPr>
          <w:rFonts w:ascii="Arial" w:hAnsi="Arial" w:cs="Arial"/>
        </w:rPr>
        <w:t xml:space="preserve">and </w:t>
      </w:r>
      <w:r w:rsidR="002C7B64" w:rsidRPr="00D55E87">
        <w:rPr>
          <w:rFonts w:ascii="Arial" w:hAnsi="Arial" w:cs="Arial"/>
        </w:rPr>
        <w:t xml:space="preserve">regulatory action and bad PR </w:t>
      </w:r>
      <w:proofErr w:type="gramStart"/>
      <w:r w:rsidR="00031189" w:rsidRPr="00D55E87">
        <w:rPr>
          <w:rFonts w:ascii="Arial" w:hAnsi="Arial" w:cs="Arial"/>
        </w:rPr>
        <w:t>is</w:t>
      </w:r>
      <w:proofErr w:type="gramEnd"/>
      <w:r w:rsidR="00031189" w:rsidRPr="00D55E87">
        <w:rPr>
          <w:rFonts w:ascii="Arial" w:hAnsi="Arial" w:cs="Arial"/>
        </w:rPr>
        <w:t xml:space="preserve"> </w:t>
      </w:r>
      <w:r w:rsidR="002C7B64" w:rsidRPr="00D55E87">
        <w:rPr>
          <w:rFonts w:ascii="Arial" w:hAnsi="Arial" w:cs="Arial"/>
        </w:rPr>
        <w:t>just another business risk. Interestingly, while corporations do defend socially liberal values such as diversity, this is more about brand image and is perhaps even a displacement of public discourse by marketing.</w:t>
      </w:r>
      <w:r w:rsidR="002C7B64" w:rsidRPr="00D55E87">
        <w:rPr>
          <w:rStyle w:val="FootnoteReference"/>
          <w:rFonts w:ascii="Arial" w:hAnsi="Arial" w:cs="Arial"/>
        </w:rPr>
        <w:footnoteReference w:id="23"/>
      </w:r>
    </w:p>
    <w:p w14:paraId="02A59E35" w14:textId="77777777" w:rsidR="002C7B64" w:rsidRPr="00D55E87" w:rsidRDefault="002C7B64" w:rsidP="00BA1EF7">
      <w:pPr>
        <w:pStyle w:val="Standard"/>
        <w:spacing w:before="100" w:beforeAutospacing="1" w:after="100" w:afterAutospacing="1" w:line="360" w:lineRule="auto"/>
        <w:contextualSpacing/>
        <w:rPr>
          <w:rFonts w:ascii="Arial" w:hAnsi="Arial" w:cs="Arial"/>
        </w:rPr>
      </w:pPr>
    </w:p>
    <w:p w14:paraId="0583F509" w14:textId="6F512F72" w:rsidR="000251E3" w:rsidRPr="00D55E87" w:rsidRDefault="00B31E8E"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Corporations, as with </w:t>
      </w:r>
      <w:r w:rsidR="00930B9B" w:rsidRPr="00D55E87">
        <w:rPr>
          <w:rFonts w:ascii="Arial" w:hAnsi="Arial" w:cs="Arial"/>
        </w:rPr>
        <w:t xml:space="preserve">anything </w:t>
      </w:r>
      <w:r w:rsidR="00D006D0" w:rsidRPr="00D55E87">
        <w:rPr>
          <w:rFonts w:ascii="Arial" w:hAnsi="Arial" w:cs="Arial"/>
        </w:rPr>
        <w:t>which wields</w:t>
      </w:r>
      <w:r w:rsidR="00930B9B" w:rsidRPr="00D55E87">
        <w:rPr>
          <w:rFonts w:ascii="Arial" w:hAnsi="Arial" w:cs="Arial"/>
        </w:rPr>
        <w:t xml:space="preserve"> power,</w:t>
      </w:r>
      <w:r w:rsidR="00C92AA5" w:rsidRPr="00D55E87">
        <w:rPr>
          <w:rFonts w:ascii="Arial" w:hAnsi="Arial" w:cs="Arial"/>
        </w:rPr>
        <w:t xml:space="preserve"> do not </w:t>
      </w:r>
      <w:r w:rsidRPr="00D55E87">
        <w:rPr>
          <w:rFonts w:ascii="Arial" w:hAnsi="Arial" w:cs="Arial"/>
        </w:rPr>
        <w:t>want to be constrained. T</w:t>
      </w:r>
      <w:r w:rsidR="0067690B" w:rsidRPr="00D55E87">
        <w:rPr>
          <w:rFonts w:ascii="Arial" w:hAnsi="Arial" w:cs="Arial"/>
        </w:rPr>
        <w:t xml:space="preserve">he cat-and-mouse game </w:t>
      </w:r>
      <w:r w:rsidR="00BD588A" w:rsidRPr="00D55E87">
        <w:rPr>
          <w:rFonts w:ascii="Arial" w:hAnsi="Arial" w:cs="Arial"/>
        </w:rPr>
        <w:t xml:space="preserve">between </w:t>
      </w:r>
      <w:r w:rsidR="0067690B" w:rsidRPr="00D55E87">
        <w:rPr>
          <w:rFonts w:ascii="Arial" w:hAnsi="Arial" w:cs="Arial"/>
        </w:rPr>
        <w:t xml:space="preserve">business and </w:t>
      </w:r>
      <w:r w:rsidR="00711207" w:rsidRPr="00D55E87">
        <w:rPr>
          <w:rFonts w:ascii="Arial" w:hAnsi="Arial" w:cs="Arial"/>
        </w:rPr>
        <w:t xml:space="preserve">regulator </w:t>
      </w:r>
      <w:r w:rsidR="0067690B" w:rsidRPr="00D55E87">
        <w:rPr>
          <w:rFonts w:ascii="Arial" w:hAnsi="Arial" w:cs="Arial"/>
        </w:rPr>
        <w:t>is not new</w:t>
      </w:r>
      <w:r w:rsidR="008C0AB2" w:rsidRPr="00D55E87">
        <w:rPr>
          <w:rFonts w:ascii="Arial" w:hAnsi="Arial" w:cs="Arial"/>
        </w:rPr>
        <w:t xml:space="preserve">, but the massive power imbalance is. </w:t>
      </w:r>
      <w:r w:rsidR="004E08A9" w:rsidRPr="00D55E87">
        <w:rPr>
          <w:rFonts w:ascii="Arial" w:hAnsi="Arial" w:cs="Arial"/>
        </w:rPr>
        <w:t>T</w:t>
      </w:r>
      <w:r w:rsidR="00F8308B" w:rsidRPr="00D55E87">
        <w:rPr>
          <w:rFonts w:ascii="Arial" w:hAnsi="Arial" w:cs="Arial"/>
        </w:rPr>
        <w:t xml:space="preserve">hrough </w:t>
      </w:r>
      <w:r w:rsidR="00AA195C" w:rsidRPr="00D55E87">
        <w:rPr>
          <w:rFonts w:ascii="Arial" w:hAnsi="Arial" w:cs="Arial"/>
        </w:rPr>
        <w:t xml:space="preserve">the shift </w:t>
      </w:r>
      <w:r w:rsidR="00F8308B" w:rsidRPr="00D55E87">
        <w:rPr>
          <w:rFonts w:ascii="Arial" w:hAnsi="Arial" w:cs="Arial"/>
        </w:rPr>
        <w:t xml:space="preserve">in political norms </w:t>
      </w:r>
      <w:r w:rsidR="00AA195C" w:rsidRPr="00D55E87">
        <w:rPr>
          <w:rFonts w:ascii="Arial" w:hAnsi="Arial" w:cs="Arial"/>
        </w:rPr>
        <w:t xml:space="preserve">toward the </w:t>
      </w:r>
      <w:r w:rsidR="00F8308B" w:rsidRPr="00D55E87">
        <w:rPr>
          <w:rFonts w:ascii="Arial" w:hAnsi="Arial" w:cs="Arial"/>
        </w:rPr>
        <w:t>intentional deregulation of business activity and the growth of corporate power</w:t>
      </w:r>
      <w:r w:rsidR="00CF5A96" w:rsidRPr="00D55E87">
        <w:rPr>
          <w:rFonts w:ascii="Arial" w:hAnsi="Arial" w:cs="Arial"/>
        </w:rPr>
        <w:t xml:space="preserve">, the Rule of Law in the economic domain </w:t>
      </w:r>
      <w:r w:rsidR="001820DD" w:rsidRPr="00D55E87">
        <w:rPr>
          <w:rFonts w:ascii="Arial" w:hAnsi="Arial" w:cs="Arial"/>
        </w:rPr>
        <w:t xml:space="preserve">has become </w:t>
      </w:r>
      <w:r w:rsidR="00CF5A96" w:rsidRPr="00D55E87">
        <w:rPr>
          <w:rFonts w:ascii="Arial" w:hAnsi="Arial" w:cs="Arial"/>
        </w:rPr>
        <w:t xml:space="preserve">fragile. </w:t>
      </w:r>
    </w:p>
    <w:p w14:paraId="5A94414D" w14:textId="77777777" w:rsidR="00A674C7" w:rsidRPr="00D55E87" w:rsidRDefault="00A674C7" w:rsidP="00BA1EF7">
      <w:pPr>
        <w:pStyle w:val="Standard"/>
        <w:spacing w:before="100" w:beforeAutospacing="1" w:after="100" w:afterAutospacing="1" w:line="360" w:lineRule="auto"/>
        <w:contextualSpacing/>
        <w:rPr>
          <w:rFonts w:ascii="Arial" w:hAnsi="Arial" w:cs="Arial"/>
          <w:b/>
          <w:bCs/>
          <w:u w:val="single"/>
        </w:rPr>
      </w:pPr>
    </w:p>
    <w:p w14:paraId="049A0DC7" w14:textId="61766927" w:rsidR="00A674C7" w:rsidRPr="00D55E87" w:rsidRDefault="00274BF9" w:rsidP="00BA1EF7">
      <w:pPr>
        <w:pStyle w:val="Standard"/>
        <w:spacing w:before="100" w:beforeAutospacing="1" w:after="100" w:afterAutospacing="1" w:line="360" w:lineRule="auto"/>
        <w:contextualSpacing/>
        <w:rPr>
          <w:rFonts w:ascii="Arial" w:hAnsi="Arial" w:cs="Arial"/>
        </w:rPr>
      </w:pPr>
      <w:r w:rsidRPr="00D55E87">
        <w:rPr>
          <w:rFonts w:ascii="Arial" w:hAnsi="Arial" w:cs="Arial"/>
          <w:b/>
          <w:bCs/>
        </w:rPr>
        <w:t>4</w:t>
      </w:r>
      <w:r w:rsidR="0067690B" w:rsidRPr="00D55E87">
        <w:rPr>
          <w:rFonts w:ascii="Arial" w:hAnsi="Arial" w:cs="Arial"/>
          <w:b/>
          <w:bCs/>
        </w:rPr>
        <w:t>. Privatised Public Space</w:t>
      </w:r>
    </w:p>
    <w:p w14:paraId="250F46D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61E4F45" w14:textId="79DA6373"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rPr>
        <w:t>Another dimension of corporate power causing a decline in the Rule of Law is the increasing private ownership of public spaces.</w:t>
      </w:r>
    </w:p>
    <w:p w14:paraId="63D3F2B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55143358"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rPr>
        <w:t xml:space="preserve">In recent decades, lots of urban development has been </w:t>
      </w:r>
      <w:proofErr w:type="gramStart"/>
      <w:r w:rsidRPr="00D55E87">
        <w:rPr>
          <w:rFonts w:ascii="Arial" w:hAnsi="Arial" w:cs="Arial"/>
        </w:rPr>
        <w:t>privately-led</w:t>
      </w:r>
      <w:proofErr w:type="gramEnd"/>
      <w:r w:rsidRPr="00D55E87">
        <w:rPr>
          <w:rFonts w:ascii="Arial" w:hAnsi="Arial" w:cs="Arial"/>
        </w:rPr>
        <w:t xml:space="preserve"> instead of publicly funded, and as such many urban ‘public’ spaces are privately governed.</w:t>
      </w:r>
      <w:r w:rsidRPr="00D55E87">
        <w:rPr>
          <w:rStyle w:val="FootnoteReference"/>
          <w:rFonts w:ascii="Arial" w:hAnsi="Arial" w:cs="Arial"/>
        </w:rPr>
        <w:footnoteReference w:id="24"/>
      </w:r>
      <w:r w:rsidRPr="00D55E87">
        <w:rPr>
          <w:rFonts w:ascii="Arial" w:hAnsi="Arial" w:cs="Arial"/>
        </w:rPr>
        <w:t xml:space="preserve"> This means that the private owners can set rules and conditions as they wish, such as banning ‘loitering’, with minimal legal rights or democratic governance of publicly controlled space. Even protests can be banned.</w:t>
      </w:r>
      <w:r w:rsidRPr="00D55E87">
        <w:rPr>
          <w:rStyle w:val="FootnoteReference"/>
          <w:rFonts w:ascii="Arial" w:hAnsi="Arial" w:cs="Arial"/>
        </w:rPr>
        <w:footnoteReference w:id="25"/>
      </w:r>
    </w:p>
    <w:p w14:paraId="0302AC63"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189BF748" w14:textId="7CF2519F"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rPr>
        <w:lastRenderedPageBreak/>
        <w:t xml:space="preserve">This is true too for </w:t>
      </w:r>
      <w:proofErr w:type="gramStart"/>
      <w:r w:rsidRPr="00D55E87">
        <w:rPr>
          <w:rFonts w:ascii="Arial" w:hAnsi="Arial" w:cs="Arial"/>
        </w:rPr>
        <w:t>the majority of</w:t>
      </w:r>
      <w:proofErr w:type="gramEnd"/>
      <w:r w:rsidRPr="00D55E87">
        <w:rPr>
          <w:rFonts w:ascii="Arial" w:hAnsi="Arial" w:cs="Arial"/>
        </w:rPr>
        <w:t xml:space="preserve"> the digital spaces we spend time in, controlled by either an international corporation or </w:t>
      </w:r>
      <w:proofErr w:type="gramStart"/>
      <w:r w:rsidRPr="00D55E87">
        <w:rPr>
          <w:rFonts w:ascii="Arial" w:hAnsi="Arial" w:cs="Arial"/>
        </w:rPr>
        <w:t>particular individual</w:t>
      </w:r>
      <w:r w:rsidR="00256FFE" w:rsidRPr="00D55E87">
        <w:rPr>
          <w:rFonts w:ascii="Arial" w:hAnsi="Arial" w:cs="Arial"/>
        </w:rPr>
        <w:t>s</w:t>
      </w:r>
      <w:proofErr w:type="gramEnd"/>
      <w:r w:rsidRPr="00D55E87">
        <w:rPr>
          <w:rFonts w:ascii="Arial" w:hAnsi="Arial" w:cs="Arial"/>
        </w:rPr>
        <w:t xml:space="preserve">. Social media platforms decide whatever content moderation, algorithms and advertising policies they wish, save for piecemeal national regulations which typically </w:t>
      </w:r>
      <w:proofErr w:type="gramStart"/>
      <w:r w:rsidRPr="00D55E87">
        <w:rPr>
          <w:rFonts w:ascii="Arial" w:hAnsi="Arial" w:cs="Arial"/>
        </w:rPr>
        <w:t>lag behind</w:t>
      </w:r>
      <w:proofErr w:type="gramEnd"/>
      <w:r w:rsidRPr="00D55E87">
        <w:rPr>
          <w:rFonts w:ascii="Arial" w:hAnsi="Arial" w:cs="Arial"/>
        </w:rPr>
        <w:t xml:space="preserve">. While algorithms and other use of </w:t>
      </w:r>
      <w:r w:rsidR="00FA4CD8" w:rsidRPr="00D55E87">
        <w:rPr>
          <w:rFonts w:ascii="Arial" w:hAnsi="Arial" w:cs="Arial"/>
        </w:rPr>
        <w:t>‘</w:t>
      </w:r>
      <w:r w:rsidRPr="00D55E87">
        <w:rPr>
          <w:rFonts w:ascii="Arial" w:hAnsi="Arial" w:cs="Arial"/>
        </w:rPr>
        <w:t>AI</w:t>
      </w:r>
      <w:r w:rsidR="00FA4CD8" w:rsidRPr="00D55E87">
        <w:rPr>
          <w:rFonts w:ascii="Arial" w:hAnsi="Arial" w:cs="Arial"/>
        </w:rPr>
        <w:t>’</w:t>
      </w:r>
      <w:r w:rsidRPr="00D55E87">
        <w:rPr>
          <w:rFonts w:ascii="Arial" w:hAnsi="Arial" w:cs="Arial"/>
        </w:rPr>
        <w:t xml:space="preserve"> </w:t>
      </w:r>
      <w:r w:rsidR="007B1EB4" w:rsidRPr="00D55E87">
        <w:rPr>
          <w:rFonts w:ascii="Arial" w:hAnsi="Arial" w:cs="Arial"/>
        </w:rPr>
        <w:t xml:space="preserve">does </w:t>
      </w:r>
      <w:r w:rsidRPr="00D55E87">
        <w:rPr>
          <w:rFonts w:ascii="Arial" w:hAnsi="Arial" w:cs="Arial"/>
        </w:rPr>
        <w:t xml:space="preserve">increase this </w:t>
      </w:r>
      <w:r w:rsidR="00616414" w:rsidRPr="00D55E87">
        <w:rPr>
          <w:rFonts w:ascii="Arial" w:hAnsi="Arial" w:cs="Arial"/>
        </w:rPr>
        <w:t xml:space="preserve">digital </w:t>
      </w:r>
      <w:r w:rsidRPr="00D55E87">
        <w:rPr>
          <w:rFonts w:ascii="Arial" w:hAnsi="Arial" w:cs="Arial"/>
        </w:rPr>
        <w:t xml:space="preserve">power, </w:t>
      </w:r>
      <w:r w:rsidR="00006D27" w:rsidRPr="00D55E87">
        <w:rPr>
          <w:rFonts w:ascii="Arial" w:hAnsi="Arial" w:cs="Arial"/>
        </w:rPr>
        <w:t xml:space="preserve">these are </w:t>
      </w:r>
      <w:r w:rsidRPr="00D55E87">
        <w:rPr>
          <w:rFonts w:ascii="Arial" w:hAnsi="Arial" w:cs="Arial"/>
        </w:rPr>
        <w:t>a continuation of an existing trend instead of a novel change.</w:t>
      </w:r>
    </w:p>
    <w:p w14:paraId="326A4A2B"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32AC2944" w14:textId="5641088C" w:rsidR="00A674C7" w:rsidRPr="00D55E87" w:rsidRDefault="0067690B" w:rsidP="00BA1EF7">
      <w:pPr>
        <w:pStyle w:val="Standard"/>
        <w:spacing w:before="100" w:beforeAutospacing="1" w:after="100" w:afterAutospacing="1" w:line="360" w:lineRule="auto"/>
        <w:contextualSpacing/>
        <w:rPr>
          <w:rFonts w:ascii="Arial" w:hAnsi="Arial" w:cs="Arial"/>
          <w:b/>
          <w:bCs/>
        </w:rPr>
      </w:pPr>
      <w:r w:rsidRPr="00D55E87">
        <w:rPr>
          <w:rFonts w:ascii="Arial" w:hAnsi="Arial" w:cs="Arial"/>
        </w:rPr>
        <w:t xml:space="preserve">In these privately controlled real and digital spaces, we see an increase in power exercised outside of the control of </w:t>
      </w:r>
      <w:r w:rsidR="00B14C9A" w:rsidRPr="00D55E87">
        <w:rPr>
          <w:rFonts w:ascii="Arial" w:hAnsi="Arial" w:cs="Arial"/>
        </w:rPr>
        <w:t>L</w:t>
      </w:r>
      <w:r w:rsidRPr="00D55E87">
        <w:rPr>
          <w:rFonts w:ascii="Arial" w:hAnsi="Arial" w:cs="Arial"/>
        </w:rPr>
        <w:t>aw, as well as beyond democratic control.</w:t>
      </w:r>
    </w:p>
    <w:p w14:paraId="11B7E0C9" w14:textId="77777777" w:rsidR="00A674C7" w:rsidRPr="00D55E87" w:rsidRDefault="00A674C7" w:rsidP="00BA1EF7">
      <w:pPr>
        <w:pStyle w:val="Standard"/>
        <w:spacing w:before="100" w:beforeAutospacing="1" w:after="100" w:afterAutospacing="1" w:line="360" w:lineRule="auto"/>
        <w:contextualSpacing/>
        <w:rPr>
          <w:rFonts w:ascii="Arial" w:hAnsi="Arial" w:cs="Arial"/>
          <w:b/>
          <w:bCs/>
          <w:sz w:val="28"/>
          <w:szCs w:val="28"/>
          <w:u w:val="single"/>
        </w:rPr>
      </w:pPr>
    </w:p>
    <w:p w14:paraId="563732A5" w14:textId="77777777" w:rsidR="00A674C7" w:rsidRPr="00D55E87" w:rsidRDefault="0067690B" w:rsidP="00BA1EF7">
      <w:pPr>
        <w:pStyle w:val="Standard"/>
        <w:spacing w:before="100" w:beforeAutospacing="1" w:after="100" w:afterAutospacing="1" w:line="360" w:lineRule="auto"/>
        <w:contextualSpacing/>
        <w:rPr>
          <w:rFonts w:ascii="Arial" w:hAnsi="Arial" w:cs="Arial"/>
          <w:b/>
          <w:bCs/>
          <w:sz w:val="28"/>
          <w:szCs w:val="28"/>
          <w:u w:val="single"/>
        </w:rPr>
      </w:pPr>
      <w:r w:rsidRPr="00D55E87">
        <w:rPr>
          <w:rFonts w:ascii="Arial" w:hAnsi="Arial" w:cs="Arial"/>
          <w:b/>
          <w:bCs/>
          <w:sz w:val="28"/>
          <w:szCs w:val="28"/>
          <w:u w:val="single"/>
        </w:rPr>
        <w:t>The Decline in Liberal Democracy</w:t>
      </w:r>
    </w:p>
    <w:p w14:paraId="1E9EC38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4BC0C95F" w14:textId="21722B6A"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Despite having been the dominant political force in both the UK and USA for at least a century, </w:t>
      </w:r>
      <w:r w:rsidR="00015BD9" w:rsidRPr="00D55E87">
        <w:rPr>
          <w:rFonts w:ascii="Arial" w:hAnsi="Arial" w:cs="Arial"/>
        </w:rPr>
        <w:t xml:space="preserve">Liberal Democracy </w:t>
      </w:r>
      <w:r w:rsidRPr="00D55E87">
        <w:rPr>
          <w:rFonts w:ascii="Arial" w:hAnsi="Arial" w:cs="Arial"/>
        </w:rPr>
        <w:t>has seen a sharp decline in political support</w:t>
      </w:r>
      <w:r w:rsidR="00015BD9" w:rsidRPr="00D55E87">
        <w:rPr>
          <w:rFonts w:ascii="Arial" w:hAnsi="Arial" w:cs="Arial"/>
        </w:rPr>
        <w:t xml:space="preserve"> in 21</w:t>
      </w:r>
      <w:r w:rsidR="00015BD9" w:rsidRPr="00D55E87">
        <w:rPr>
          <w:rFonts w:ascii="Arial" w:hAnsi="Arial" w:cs="Arial"/>
          <w:vertAlign w:val="superscript"/>
        </w:rPr>
        <w:t>st</w:t>
      </w:r>
      <w:r w:rsidR="00015BD9" w:rsidRPr="00D55E87">
        <w:rPr>
          <w:rFonts w:ascii="Arial" w:hAnsi="Arial" w:cs="Arial"/>
        </w:rPr>
        <w:t xml:space="preserve"> century so far</w:t>
      </w:r>
      <w:r w:rsidR="00003E49" w:rsidRPr="00D55E87">
        <w:rPr>
          <w:rFonts w:ascii="Arial" w:hAnsi="Arial" w:cs="Arial"/>
        </w:rPr>
        <w:t xml:space="preserve"> in the face of </w:t>
      </w:r>
      <w:r w:rsidRPr="00D55E87">
        <w:rPr>
          <w:rFonts w:ascii="Arial" w:hAnsi="Arial" w:cs="Arial"/>
        </w:rPr>
        <w:t xml:space="preserve">the </w:t>
      </w:r>
      <w:r w:rsidR="00FE4382" w:rsidRPr="00D55E87">
        <w:rPr>
          <w:rFonts w:ascii="Arial" w:hAnsi="Arial" w:cs="Arial"/>
        </w:rPr>
        <w:t>dual</w:t>
      </w:r>
      <w:r w:rsidRPr="00D55E87">
        <w:rPr>
          <w:rFonts w:ascii="Arial" w:hAnsi="Arial" w:cs="Arial"/>
        </w:rPr>
        <w:t xml:space="preserve"> challenges </w:t>
      </w:r>
      <w:r w:rsidR="00FE4382" w:rsidRPr="00D55E87">
        <w:rPr>
          <w:rFonts w:ascii="Arial" w:hAnsi="Arial" w:cs="Arial"/>
        </w:rPr>
        <w:t xml:space="preserve">of </w:t>
      </w:r>
      <w:r w:rsidRPr="00D55E87">
        <w:rPr>
          <w:rFonts w:ascii="Arial" w:hAnsi="Arial" w:cs="Arial"/>
        </w:rPr>
        <w:t>right-wing political movements and corporate power.</w:t>
      </w:r>
    </w:p>
    <w:p w14:paraId="3DFA107D"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3D57501F" w14:textId="2F0CB3BB"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Liberal rights do little to address material issues which are currently faced by many: declining living standards; poverty, including in-work poverty; housing insecurity; and environmental issues. Economic inequality is out in the open, entrenched, and recognised by large sections of the public to be an intentional political choice. Empirical research </w:t>
      </w:r>
      <w:r w:rsidR="00EB52E2" w:rsidRPr="00D55E87">
        <w:rPr>
          <w:rFonts w:ascii="Arial" w:hAnsi="Arial" w:cs="Arial"/>
        </w:rPr>
        <w:t>in</w:t>
      </w:r>
      <w:r w:rsidRPr="00D55E87">
        <w:rPr>
          <w:rFonts w:ascii="Arial" w:hAnsi="Arial" w:cs="Arial"/>
        </w:rPr>
        <w:t xml:space="preserve"> the USA has shown that “economic elites and organized groups representing business interests have substantial independent impacts on U.S. government policy, while average citizens and mass-based interest groups have little or no independent influence”,</w:t>
      </w:r>
      <w:r w:rsidRPr="00D55E87">
        <w:rPr>
          <w:rStyle w:val="FootnoteReference"/>
          <w:rFonts w:ascii="Arial" w:hAnsi="Arial" w:cs="Arial"/>
        </w:rPr>
        <w:footnoteReference w:id="26"/>
      </w:r>
      <w:r w:rsidRPr="00D55E87">
        <w:rPr>
          <w:rFonts w:ascii="Arial" w:hAnsi="Arial" w:cs="Arial"/>
        </w:rPr>
        <w:t xml:space="preserve"> and research</w:t>
      </w:r>
      <w:r w:rsidR="00923D8E" w:rsidRPr="00D55E87">
        <w:rPr>
          <w:rFonts w:ascii="Arial" w:hAnsi="Arial" w:cs="Arial"/>
        </w:rPr>
        <w:t xml:space="preserve"> in the UK</w:t>
      </w:r>
      <w:r w:rsidRPr="00D55E87">
        <w:rPr>
          <w:rFonts w:ascii="Arial" w:hAnsi="Arial" w:cs="Arial"/>
        </w:rPr>
        <w:t xml:space="preserve"> by the IPPR warns that a decline in political trust is undermining liberal democracy.</w:t>
      </w:r>
      <w:r w:rsidRPr="00D55E87">
        <w:rPr>
          <w:rStyle w:val="FootnoteReference"/>
          <w:rFonts w:ascii="Arial" w:hAnsi="Arial" w:cs="Arial"/>
        </w:rPr>
        <w:footnoteReference w:id="27"/>
      </w:r>
    </w:p>
    <w:p w14:paraId="59A97E64" w14:textId="77777777" w:rsidR="00A674C7" w:rsidRPr="00D55E87" w:rsidRDefault="00A674C7" w:rsidP="00BA1EF7">
      <w:pPr>
        <w:pStyle w:val="Standard"/>
        <w:spacing w:before="100" w:beforeAutospacing="1" w:after="100" w:afterAutospacing="1" w:line="360" w:lineRule="auto"/>
        <w:contextualSpacing/>
        <w:rPr>
          <w:rFonts w:ascii="Arial" w:hAnsi="Arial" w:cs="Arial"/>
        </w:rPr>
      </w:pPr>
    </w:p>
    <w:p w14:paraId="21ABDCAC" w14:textId="7FC4E2E5"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Liberalism has failed to </w:t>
      </w:r>
      <w:r w:rsidR="00EA3BB0" w:rsidRPr="00D55E87">
        <w:rPr>
          <w:rFonts w:ascii="Arial" w:hAnsi="Arial" w:cs="Arial"/>
        </w:rPr>
        <w:t>deliver</w:t>
      </w:r>
      <w:r w:rsidRPr="00D55E87">
        <w:rPr>
          <w:rFonts w:ascii="Arial" w:hAnsi="Arial" w:cs="Arial"/>
        </w:rPr>
        <w:t xml:space="preserve"> on </w:t>
      </w:r>
      <w:r w:rsidR="00BC4233" w:rsidRPr="00D55E87">
        <w:rPr>
          <w:rFonts w:ascii="Arial" w:hAnsi="Arial" w:cs="Arial"/>
        </w:rPr>
        <w:t xml:space="preserve">its </w:t>
      </w:r>
      <w:r w:rsidRPr="00D55E87">
        <w:rPr>
          <w:rFonts w:ascii="Arial" w:hAnsi="Arial" w:cs="Arial"/>
        </w:rPr>
        <w:t xml:space="preserve">promise of freedom for large sections of the population. The decline in support for Liberal Democracy is linked to the two political challenges described above, though </w:t>
      </w:r>
      <w:r w:rsidR="005A5193" w:rsidRPr="00D55E87">
        <w:rPr>
          <w:rFonts w:ascii="Arial" w:hAnsi="Arial" w:cs="Arial"/>
        </w:rPr>
        <w:t xml:space="preserve">there is only space here for the barest sketch. </w:t>
      </w:r>
      <w:r w:rsidRPr="00D55E87">
        <w:rPr>
          <w:rFonts w:ascii="Arial" w:hAnsi="Arial" w:cs="Arial"/>
        </w:rPr>
        <w:t xml:space="preserve">The </w:t>
      </w:r>
      <w:r w:rsidR="003C7726" w:rsidRPr="00D55E87">
        <w:rPr>
          <w:rFonts w:ascii="Arial" w:hAnsi="Arial" w:cs="Arial"/>
        </w:rPr>
        <w:t xml:space="preserve">growth of corporate power </w:t>
      </w:r>
      <w:r w:rsidR="002653A3" w:rsidRPr="00D55E87">
        <w:rPr>
          <w:rFonts w:ascii="Arial" w:hAnsi="Arial" w:cs="Arial"/>
        </w:rPr>
        <w:t xml:space="preserve">allows </w:t>
      </w:r>
      <w:r w:rsidRPr="00D55E87">
        <w:rPr>
          <w:rFonts w:ascii="Arial" w:hAnsi="Arial" w:cs="Arial"/>
        </w:rPr>
        <w:t xml:space="preserve">a greater extraction of value from </w:t>
      </w:r>
      <w:r w:rsidR="00996F84" w:rsidRPr="00D55E87">
        <w:rPr>
          <w:rFonts w:ascii="Arial" w:hAnsi="Arial" w:cs="Arial"/>
        </w:rPr>
        <w:t xml:space="preserve">workers, consumers </w:t>
      </w:r>
      <w:r w:rsidR="00996F84" w:rsidRPr="00D55E87">
        <w:rPr>
          <w:rFonts w:ascii="Arial" w:hAnsi="Arial" w:cs="Arial"/>
        </w:rPr>
        <w:lastRenderedPageBreak/>
        <w:t>and the environment</w:t>
      </w:r>
      <w:r w:rsidR="002653A3" w:rsidRPr="00D55E87">
        <w:rPr>
          <w:rFonts w:ascii="Arial" w:hAnsi="Arial" w:cs="Arial"/>
        </w:rPr>
        <w:t>, leading to the decline in material living standards</w:t>
      </w:r>
      <w:r w:rsidRPr="00D55E87">
        <w:rPr>
          <w:rFonts w:ascii="Arial" w:hAnsi="Arial" w:cs="Arial"/>
        </w:rPr>
        <w:t xml:space="preserve">. </w:t>
      </w:r>
      <w:r w:rsidR="00C46409" w:rsidRPr="00D55E87">
        <w:rPr>
          <w:rFonts w:ascii="Arial" w:hAnsi="Arial" w:cs="Arial"/>
        </w:rPr>
        <w:t xml:space="preserve">These material issues cause misery and </w:t>
      </w:r>
      <w:r w:rsidR="005076B2" w:rsidRPr="00D55E87">
        <w:rPr>
          <w:rFonts w:ascii="Arial" w:hAnsi="Arial" w:cs="Arial"/>
        </w:rPr>
        <w:t>a feeling of being left behind</w:t>
      </w:r>
      <w:r w:rsidR="004036D9" w:rsidRPr="00D55E87">
        <w:rPr>
          <w:rFonts w:ascii="Arial" w:hAnsi="Arial" w:cs="Arial"/>
        </w:rPr>
        <w:t xml:space="preserve">, which </w:t>
      </w:r>
      <w:r w:rsidR="005076B2" w:rsidRPr="00D55E87">
        <w:rPr>
          <w:rFonts w:ascii="Arial" w:hAnsi="Arial" w:cs="Arial"/>
        </w:rPr>
        <w:t xml:space="preserve">feed </w:t>
      </w:r>
      <w:r w:rsidRPr="00D55E87">
        <w:rPr>
          <w:rFonts w:ascii="Arial" w:hAnsi="Arial" w:cs="Arial"/>
        </w:rPr>
        <w:t>into far-right political movements, such as finding scapegoat groups to blam</w:t>
      </w:r>
      <w:r w:rsidR="00CB7763" w:rsidRPr="00D55E87">
        <w:rPr>
          <w:rFonts w:ascii="Arial" w:hAnsi="Arial" w:cs="Arial"/>
        </w:rPr>
        <w:t>e</w:t>
      </w:r>
      <w:r w:rsidRPr="00D55E87">
        <w:rPr>
          <w:rFonts w:ascii="Arial" w:hAnsi="Arial" w:cs="Arial"/>
        </w:rPr>
        <w:t xml:space="preserve">. </w:t>
      </w:r>
      <w:r w:rsidR="00813E4D" w:rsidRPr="00D55E87">
        <w:rPr>
          <w:rFonts w:ascii="Arial" w:hAnsi="Arial" w:cs="Arial"/>
        </w:rPr>
        <w:t xml:space="preserve">Far-right political movements and corporate power are not the same, but they </w:t>
      </w:r>
      <w:r w:rsidR="00795C00" w:rsidRPr="00D55E87">
        <w:rPr>
          <w:rFonts w:ascii="Arial" w:hAnsi="Arial" w:cs="Arial"/>
        </w:rPr>
        <w:t>often make allian</w:t>
      </w:r>
      <w:r w:rsidR="00DE1A5A" w:rsidRPr="00D55E87">
        <w:rPr>
          <w:rFonts w:ascii="Arial" w:hAnsi="Arial" w:cs="Arial"/>
        </w:rPr>
        <w:t>ces.</w:t>
      </w:r>
    </w:p>
    <w:p w14:paraId="24AA1206" w14:textId="77777777" w:rsidR="00D056E1" w:rsidRPr="00D55E87" w:rsidRDefault="00D056E1" w:rsidP="00BA1EF7">
      <w:pPr>
        <w:pStyle w:val="Standard"/>
        <w:spacing w:before="100" w:beforeAutospacing="1" w:after="100" w:afterAutospacing="1" w:line="360" w:lineRule="auto"/>
        <w:contextualSpacing/>
        <w:rPr>
          <w:rFonts w:ascii="Arial" w:hAnsi="Arial" w:cs="Arial"/>
        </w:rPr>
      </w:pPr>
    </w:p>
    <w:p w14:paraId="31043FF1" w14:textId="25FC295F" w:rsidR="00A674C7" w:rsidRPr="00D55E87" w:rsidRDefault="0067690B"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Liberal Democracy is much better than authoritarian rule,</w:t>
      </w:r>
      <w:r w:rsidR="00295696" w:rsidRPr="00D55E87">
        <w:rPr>
          <w:rFonts w:ascii="Arial" w:hAnsi="Arial" w:cs="Arial"/>
        </w:rPr>
        <w:t xml:space="preserve"> and liberal rights such as the protection from violence and discrimination, the right to protest, and the right to strike are vitally important</w:t>
      </w:r>
      <w:r w:rsidR="00695BAD" w:rsidRPr="00D55E87">
        <w:rPr>
          <w:rFonts w:ascii="Arial" w:hAnsi="Arial" w:cs="Arial"/>
        </w:rPr>
        <w:t xml:space="preserve">, especially for oppressed groups, </w:t>
      </w:r>
      <w:r w:rsidR="00295696" w:rsidRPr="00D55E87">
        <w:rPr>
          <w:rFonts w:ascii="Arial" w:hAnsi="Arial" w:cs="Arial"/>
        </w:rPr>
        <w:t xml:space="preserve">and can garner public support. </w:t>
      </w:r>
      <w:r w:rsidR="0030368D" w:rsidRPr="00D55E87">
        <w:rPr>
          <w:rFonts w:ascii="Arial" w:hAnsi="Arial" w:cs="Arial"/>
        </w:rPr>
        <w:t xml:space="preserve">However, </w:t>
      </w:r>
      <w:r w:rsidRPr="00D55E87">
        <w:rPr>
          <w:rFonts w:ascii="Arial" w:hAnsi="Arial" w:cs="Arial"/>
        </w:rPr>
        <w:t>instead of considering liberalism as the best form of society we can achieve, we should recognise its shortcomings and take up the idea that a more free, just and democratic society is possible.</w:t>
      </w:r>
    </w:p>
    <w:p w14:paraId="0B15BF58" w14:textId="52363B46" w:rsidR="00A674C7" w:rsidRPr="00D55E87" w:rsidRDefault="00A674C7" w:rsidP="00BA1EF7">
      <w:pPr>
        <w:pStyle w:val="Standard"/>
        <w:spacing w:before="100" w:beforeAutospacing="1" w:after="100" w:afterAutospacing="1" w:line="360" w:lineRule="auto"/>
        <w:contextualSpacing/>
        <w:rPr>
          <w:rFonts w:ascii="Arial" w:hAnsi="Arial" w:cs="Arial"/>
          <w:b/>
          <w:bCs/>
          <w:u w:val="single"/>
        </w:rPr>
      </w:pPr>
    </w:p>
    <w:p w14:paraId="058CC347" w14:textId="77777777" w:rsidR="00051D93" w:rsidRPr="00D55E87" w:rsidRDefault="00051D93" w:rsidP="00BA1EF7">
      <w:pPr>
        <w:pStyle w:val="Standard"/>
        <w:spacing w:before="100" w:beforeAutospacing="1" w:after="100" w:afterAutospacing="1" w:line="360" w:lineRule="auto"/>
        <w:contextualSpacing/>
        <w:rPr>
          <w:rFonts w:ascii="Arial" w:hAnsi="Arial" w:cs="Arial"/>
          <w:b/>
          <w:bCs/>
          <w:u w:val="single"/>
        </w:rPr>
      </w:pPr>
    </w:p>
    <w:p w14:paraId="5C5A4EAF" w14:textId="17D1BCB3" w:rsidR="00A674C7" w:rsidRPr="00D55E87" w:rsidRDefault="00A17CBD" w:rsidP="00BA1EF7">
      <w:pPr>
        <w:pStyle w:val="Standard"/>
        <w:spacing w:before="100" w:beforeAutospacing="1" w:after="100" w:afterAutospacing="1" w:line="360" w:lineRule="auto"/>
        <w:contextualSpacing/>
        <w:rPr>
          <w:rFonts w:ascii="Arial" w:hAnsi="Arial" w:cs="Arial"/>
          <w:b/>
          <w:bCs/>
          <w:sz w:val="36"/>
          <w:szCs w:val="36"/>
          <w:u w:val="single"/>
        </w:rPr>
      </w:pPr>
      <w:r w:rsidRPr="00D55E87">
        <w:rPr>
          <w:rFonts w:ascii="Arial" w:hAnsi="Arial" w:cs="Arial"/>
          <w:b/>
          <w:bCs/>
          <w:sz w:val="36"/>
          <w:szCs w:val="36"/>
          <w:u w:val="single"/>
        </w:rPr>
        <w:t xml:space="preserve">Democracy and </w:t>
      </w:r>
      <w:r w:rsidR="0067690B" w:rsidRPr="00D55E87">
        <w:rPr>
          <w:rFonts w:ascii="Arial" w:hAnsi="Arial" w:cs="Arial"/>
          <w:b/>
          <w:bCs/>
          <w:sz w:val="36"/>
          <w:szCs w:val="36"/>
          <w:u w:val="single"/>
        </w:rPr>
        <w:t>Law in the 21</w:t>
      </w:r>
      <w:r w:rsidR="0067690B" w:rsidRPr="00D55E87">
        <w:rPr>
          <w:rFonts w:ascii="Arial" w:hAnsi="Arial" w:cs="Arial"/>
          <w:b/>
          <w:bCs/>
          <w:sz w:val="36"/>
          <w:szCs w:val="36"/>
          <w:u w:val="single"/>
          <w:vertAlign w:val="superscript"/>
        </w:rPr>
        <w:t>st</w:t>
      </w:r>
      <w:r w:rsidR="0067690B" w:rsidRPr="00D55E87">
        <w:rPr>
          <w:rFonts w:ascii="Arial" w:hAnsi="Arial" w:cs="Arial"/>
          <w:b/>
          <w:bCs/>
          <w:sz w:val="36"/>
          <w:szCs w:val="36"/>
          <w:u w:val="single"/>
        </w:rPr>
        <w:t xml:space="preserve"> Century</w:t>
      </w:r>
    </w:p>
    <w:p w14:paraId="5A456ECE" w14:textId="77777777" w:rsidR="00C52605" w:rsidRPr="00D55E87" w:rsidRDefault="00C52605" w:rsidP="00BA1EF7">
      <w:pPr>
        <w:pStyle w:val="Standard"/>
        <w:spacing w:before="100" w:beforeAutospacing="1" w:after="100" w:afterAutospacing="1" w:line="360" w:lineRule="auto"/>
        <w:contextualSpacing/>
        <w:rPr>
          <w:rFonts w:ascii="Arial" w:hAnsi="Arial" w:cs="Arial"/>
        </w:rPr>
      </w:pPr>
    </w:p>
    <w:p w14:paraId="0F07101F" w14:textId="5A35BAA0" w:rsidR="00E40B18" w:rsidRPr="00D55E87" w:rsidRDefault="00BF636A"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Based on the understanding of Law as social reproduction, t</w:t>
      </w:r>
      <w:r w:rsidR="007E148A" w:rsidRPr="00D55E87">
        <w:rPr>
          <w:rFonts w:ascii="Arial" w:hAnsi="Arial" w:cs="Arial"/>
        </w:rPr>
        <w:t>his essay has</w:t>
      </w:r>
      <w:r w:rsidR="00CA773C" w:rsidRPr="00D55E87">
        <w:rPr>
          <w:rFonts w:ascii="Arial" w:hAnsi="Arial" w:cs="Arial"/>
        </w:rPr>
        <w:t xml:space="preserve"> established that the Rule of Law is not inherently good</w:t>
      </w:r>
      <w:r w:rsidR="0023310B" w:rsidRPr="00D55E87">
        <w:rPr>
          <w:rFonts w:ascii="Arial" w:hAnsi="Arial" w:cs="Arial"/>
        </w:rPr>
        <w:t xml:space="preserve"> and </w:t>
      </w:r>
      <w:r w:rsidR="008A4BCA" w:rsidRPr="00D55E87">
        <w:rPr>
          <w:rFonts w:ascii="Arial" w:hAnsi="Arial" w:cs="Arial"/>
        </w:rPr>
        <w:t xml:space="preserve">what </w:t>
      </w:r>
      <w:r w:rsidR="00AC12C3" w:rsidRPr="00D55E87">
        <w:rPr>
          <w:rFonts w:ascii="Arial" w:hAnsi="Arial" w:cs="Arial"/>
        </w:rPr>
        <w:t xml:space="preserve">matters is </w:t>
      </w:r>
      <w:r w:rsidR="00CA773C" w:rsidRPr="00D55E87">
        <w:rPr>
          <w:rFonts w:ascii="Arial" w:hAnsi="Arial" w:cs="Arial"/>
        </w:rPr>
        <w:t>what laws we are being ruled by</w:t>
      </w:r>
      <w:r w:rsidR="00195F95" w:rsidRPr="00D55E87">
        <w:rPr>
          <w:rFonts w:ascii="Arial" w:hAnsi="Arial" w:cs="Arial"/>
        </w:rPr>
        <w:t xml:space="preserve">. </w:t>
      </w:r>
      <w:r w:rsidR="00F012CF" w:rsidRPr="00D55E87">
        <w:rPr>
          <w:rFonts w:ascii="Arial" w:hAnsi="Arial" w:cs="Arial"/>
        </w:rPr>
        <w:t>From this basis, i</w:t>
      </w:r>
      <w:r w:rsidR="00760D7B" w:rsidRPr="00D55E87">
        <w:rPr>
          <w:rFonts w:ascii="Arial" w:hAnsi="Arial" w:cs="Arial"/>
        </w:rPr>
        <w:t xml:space="preserve">t has </w:t>
      </w:r>
      <w:r w:rsidR="009E08CD" w:rsidRPr="00D55E87">
        <w:rPr>
          <w:rFonts w:ascii="Arial" w:hAnsi="Arial" w:cs="Arial"/>
        </w:rPr>
        <w:t xml:space="preserve">analysed how the two most significant current political challenges </w:t>
      </w:r>
      <w:r w:rsidR="007B583E" w:rsidRPr="00D55E87">
        <w:rPr>
          <w:rFonts w:ascii="Arial" w:hAnsi="Arial" w:cs="Arial"/>
        </w:rPr>
        <w:t xml:space="preserve">have caused </w:t>
      </w:r>
      <w:r w:rsidR="009E08CD" w:rsidRPr="00D55E87">
        <w:rPr>
          <w:rFonts w:ascii="Arial" w:hAnsi="Arial" w:cs="Arial"/>
        </w:rPr>
        <w:t>the current fragility of the Rule of Law</w:t>
      </w:r>
      <w:r w:rsidR="006D0C0E" w:rsidRPr="00D55E87">
        <w:rPr>
          <w:rFonts w:ascii="Arial" w:hAnsi="Arial" w:cs="Arial"/>
        </w:rPr>
        <w:t xml:space="preserve">. </w:t>
      </w:r>
      <w:r w:rsidR="00611F22" w:rsidRPr="00D55E87">
        <w:rPr>
          <w:rFonts w:ascii="Arial" w:hAnsi="Arial" w:cs="Arial"/>
        </w:rPr>
        <w:t xml:space="preserve">To finish, let us introduce </w:t>
      </w:r>
      <w:r w:rsidR="00F93FED" w:rsidRPr="00D55E87">
        <w:rPr>
          <w:rFonts w:ascii="Arial" w:hAnsi="Arial" w:cs="Arial"/>
        </w:rPr>
        <w:t>the question which should follow from political analysis</w:t>
      </w:r>
      <w:r w:rsidR="00985F22" w:rsidRPr="00D55E87">
        <w:rPr>
          <w:rFonts w:ascii="Arial" w:hAnsi="Arial" w:cs="Arial"/>
        </w:rPr>
        <w:t xml:space="preserve"> – </w:t>
      </w:r>
      <w:r w:rsidR="00BF01A2" w:rsidRPr="00D55E87">
        <w:rPr>
          <w:rFonts w:ascii="Arial" w:hAnsi="Arial" w:cs="Arial"/>
          <w:i/>
          <w:iCs/>
        </w:rPr>
        <w:t>where should we go from here</w:t>
      </w:r>
      <w:r w:rsidR="0067690B" w:rsidRPr="00D55E87">
        <w:rPr>
          <w:rFonts w:ascii="Arial" w:hAnsi="Arial" w:cs="Arial"/>
          <w:i/>
          <w:iCs/>
        </w:rPr>
        <w:t>?</w:t>
      </w:r>
      <w:r w:rsidR="00E40B18" w:rsidRPr="00D55E87">
        <w:rPr>
          <w:rFonts w:ascii="Arial" w:hAnsi="Arial" w:cs="Arial"/>
          <w:i/>
          <w:iCs/>
        </w:rPr>
        <w:t xml:space="preserve"> </w:t>
      </w:r>
      <w:r w:rsidR="003C2C93" w:rsidRPr="00D55E87">
        <w:rPr>
          <w:rFonts w:ascii="Arial" w:hAnsi="Arial" w:cs="Arial"/>
        </w:rPr>
        <w:t>Though there is</w:t>
      </w:r>
      <w:r w:rsidR="003C2C93" w:rsidRPr="00D55E87">
        <w:rPr>
          <w:rFonts w:ascii="Arial" w:hAnsi="Arial" w:cs="Arial"/>
          <w:color w:val="000000"/>
        </w:rPr>
        <w:t xml:space="preserve"> </w:t>
      </w:r>
      <w:r w:rsidR="00104225" w:rsidRPr="00D55E87">
        <w:rPr>
          <w:rFonts w:ascii="Arial" w:hAnsi="Arial" w:cs="Arial"/>
          <w:color w:val="000000"/>
        </w:rPr>
        <w:t xml:space="preserve">not enough space to answer this question in any depth, </w:t>
      </w:r>
      <w:r w:rsidR="00344CEA" w:rsidRPr="00D55E87">
        <w:rPr>
          <w:rFonts w:ascii="Arial" w:hAnsi="Arial" w:cs="Arial"/>
          <w:color w:val="000000"/>
        </w:rPr>
        <w:t xml:space="preserve">I will give </w:t>
      </w:r>
      <w:r w:rsidR="00B11B6C" w:rsidRPr="00D55E87">
        <w:rPr>
          <w:rFonts w:ascii="Arial" w:hAnsi="Arial" w:cs="Arial"/>
          <w:color w:val="000000"/>
        </w:rPr>
        <w:t xml:space="preserve">a brief sketch of </w:t>
      </w:r>
      <w:r w:rsidR="00104225" w:rsidRPr="00D55E87">
        <w:rPr>
          <w:rFonts w:ascii="Arial" w:hAnsi="Arial" w:cs="Arial"/>
          <w:color w:val="000000"/>
        </w:rPr>
        <w:t xml:space="preserve">the </w:t>
      </w:r>
      <w:r w:rsidR="00DB18CA" w:rsidRPr="00D55E87">
        <w:rPr>
          <w:rFonts w:ascii="Arial" w:hAnsi="Arial" w:cs="Arial"/>
          <w:color w:val="000000"/>
        </w:rPr>
        <w:t xml:space="preserve">sort of </w:t>
      </w:r>
      <w:r w:rsidR="00E40B18" w:rsidRPr="00D55E87">
        <w:rPr>
          <w:rFonts w:ascii="Arial" w:hAnsi="Arial" w:cs="Arial"/>
          <w:color w:val="000000"/>
        </w:rPr>
        <w:t xml:space="preserve">conversation which I believe we should be having about democracy, </w:t>
      </w:r>
      <w:r w:rsidR="00C4732A" w:rsidRPr="00D55E87">
        <w:rPr>
          <w:rFonts w:ascii="Arial" w:hAnsi="Arial" w:cs="Arial"/>
          <w:color w:val="000000"/>
        </w:rPr>
        <w:t>Law</w:t>
      </w:r>
      <w:r w:rsidR="00E40B18" w:rsidRPr="00D55E87">
        <w:rPr>
          <w:rFonts w:ascii="Arial" w:hAnsi="Arial" w:cs="Arial"/>
          <w:color w:val="000000"/>
        </w:rPr>
        <w:t xml:space="preserve"> and political change</w:t>
      </w:r>
      <w:r w:rsidR="00322931" w:rsidRPr="00D55E87">
        <w:rPr>
          <w:rFonts w:ascii="Arial" w:hAnsi="Arial" w:cs="Arial"/>
          <w:color w:val="000000"/>
        </w:rPr>
        <w:t xml:space="preserve"> in the 21</w:t>
      </w:r>
      <w:r w:rsidR="00322931" w:rsidRPr="00D55E87">
        <w:rPr>
          <w:rFonts w:ascii="Arial" w:hAnsi="Arial" w:cs="Arial"/>
          <w:color w:val="000000"/>
          <w:vertAlign w:val="superscript"/>
        </w:rPr>
        <w:t>st</w:t>
      </w:r>
      <w:r w:rsidR="00322931" w:rsidRPr="00D55E87">
        <w:rPr>
          <w:rFonts w:ascii="Arial" w:hAnsi="Arial" w:cs="Arial"/>
          <w:color w:val="000000"/>
        </w:rPr>
        <w:t xml:space="preserve"> Century.</w:t>
      </w:r>
    </w:p>
    <w:p w14:paraId="718E86EC" w14:textId="77777777" w:rsidR="003C6318" w:rsidRPr="00D55E87" w:rsidRDefault="003C6318" w:rsidP="00BA1EF7">
      <w:pPr>
        <w:pStyle w:val="Standard"/>
        <w:spacing w:before="100" w:beforeAutospacing="1" w:after="100" w:afterAutospacing="1" w:line="360" w:lineRule="auto"/>
        <w:contextualSpacing/>
        <w:rPr>
          <w:rFonts w:ascii="Arial" w:hAnsi="Arial" w:cs="Arial"/>
          <w:i/>
          <w:iCs/>
        </w:rPr>
      </w:pPr>
    </w:p>
    <w:p w14:paraId="2B1521EA" w14:textId="5991891D" w:rsidR="00041864" w:rsidRPr="00D55E87" w:rsidRDefault="00591D2E" w:rsidP="00BA1EF7">
      <w:pPr>
        <w:pStyle w:val="Standard"/>
        <w:spacing w:before="100" w:beforeAutospacing="1" w:after="100" w:afterAutospacing="1" w:line="360" w:lineRule="auto"/>
        <w:contextualSpacing/>
        <w:rPr>
          <w:rFonts w:ascii="Arial" w:hAnsi="Arial" w:cs="Arial"/>
          <w:color w:val="000000"/>
        </w:rPr>
      </w:pPr>
      <w:r w:rsidRPr="00D55E87">
        <w:rPr>
          <w:rFonts w:ascii="Arial" w:hAnsi="Arial" w:cs="Arial"/>
        </w:rPr>
        <w:t xml:space="preserve">To respond to the current political challenges, </w:t>
      </w:r>
      <w:r w:rsidR="00D55123" w:rsidRPr="00D55E87">
        <w:rPr>
          <w:rFonts w:ascii="Arial" w:hAnsi="Arial" w:cs="Arial"/>
        </w:rPr>
        <w:t xml:space="preserve">because </w:t>
      </w:r>
      <w:r w:rsidR="00D55123" w:rsidRPr="00D55E87">
        <w:rPr>
          <w:rFonts w:ascii="Arial" w:hAnsi="Arial" w:cs="Arial"/>
          <w:color w:val="000000"/>
        </w:rPr>
        <w:t xml:space="preserve">democratic self-governance is better than being ruled by concentrated power, </w:t>
      </w:r>
      <w:r w:rsidR="00D25164" w:rsidRPr="00D55E87">
        <w:rPr>
          <w:rFonts w:ascii="Arial" w:hAnsi="Arial" w:cs="Arial"/>
          <w:color w:val="000000"/>
        </w:rPr>
        <w:t>we need a radical rethink of democracy beyond the conventions of Liberal Democracy</w:t>
      </w:r>
      <w:r w:rsidR="00D55123" w:rsidRPr="00D55E87">
        <w:rPr>
          <w:rFonts w:ascii="Arial" w:hAnsi="Arial" w:cs="Arial"/>
          <w:color w:val="000000"/>
        </w:rPr>
        <w:t>.</w:t>
      </w:r>
    </w:p>
    <w:p w14:paraId="2F2C00E4" w14:textId="77777777" w:rsidR="00F0075B" w:rsidRPr="00D55E87" w:rsidRDefault="00F0075B" w:rsidP="00BA1EF7">
      <w:pPr>
        <w:pStyle w:val="Standard"/>
        <w:spacing w:before="100" w:beforeAutospacing="1" w:after="100" w:afterAutospacing="1" w:line="360" w:lineRule="auto"/>
        <w:contextualSpacing/>
        <w:rPr>
          <w:rFonts w:ascii="Arial" w:hAnsi="Arial" w:cs="Arial"/>
        </w:rPr>
      </w:pPr>
    </w:p>
    <w:p w14:paraId="112A1FB4" w14:textId="6BE2B4B4" w:rsidR="006C2966" w:rsidRPr="00D55E87" w:rsidRDefault="003A3761" w:rsidP="00BA1EF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As for Law, recognising Law as social reproduction makes </w:t>
      </w:r>
      <w:r w:rsidR="00CC7585" w:rsidRPr="00D55E87">
        <w:rPr>
          <w:rFonts w:ascii="Arial" w:hAnsi="Arial" w:cs="Arial"/>
        </w:rPr>
        <w:t xml:space="preserve">clear that </w:t>
      </w:r>
      <w:r w:rsidR="00ED7715" w:rsidRPr="00D55E87">
        <w:rPr>
          <w:rFonts w:ascii="Arial" w:hAnsi="Arial" w:cs="Arial"/>
        </w:rPr>
        <w:t xml:space="preserve">legal change </w:t>
      </w:r>
      <w:r w:rsidR="0067690B" w:rsidRPr="00D55E87">
        <w:rPr>
          <w:rFonts w:ascii="Arial" w:hAnsi="Arial" w:cs="Arial"/>
        </w:rPr>
        <w:t xml:space="preserve">has a significant role </w:t>
      </w:r>
      <w:r w:rsidR="003D583A" w:rsidRPr="00D55E87">
        <w:rPr>
          <w:rFonts w:ascii="Arial" w:hAnsi="Arial" w:cs="Arial"/>
        </w:rPr>
        <w:t xml:space="preserve">in any </w:t>
      </w:r>
      <w:r w:rsidR="0067690B" w:rsidRPr="00D55E87">
        <w:rPr>
          <w:rFonts w:ascii="Arial" w:hAnsi="Arial" w:cs="Arial"/>
        </w:rPr>
        <w:t xml:space="preserve">political movement </w:t>
      </w:r>
      <w:r w:rsidR="00717579" w:rsidRPr="00D55E87">
        <w:rPr>
          <w:rFonts w:ascii="Arial" w:hAnsi="Arial" w:cs="Arial"/>
        </w:rPr>
        <w:t>towards a more just and democratic social order</w:t>
      </w:r>
      <w:r w:rsidR="00954C49" w:rsidRPr="00D55E87">
        <w:rPr>
          <w:rFonts w:ascii="Arial" w:hAnsi="Arial" w:cs="Arial"/>
        </w:rPr>
        <w:t xml:space="preserve"> and can be part of driving this change forward</w:t>
      </w:r>
      <w:r w:rsidR="00717579" w:rsidRPr="00D55E87">
        <w:rPr>
          <w:rFonts w:ascii="Arial" w:hAnsi="Arial" w:cs="Arial"/>
        </w:rPr>
        <w:t xml:space="preserve">. </w:t>
      </w:r>
    </w:p>
    <w:p w14:paraId="0EDE774A" w14:textId="77777777" w:rsidR="006C2966" w:rsidRPr="00D55E87" w:rsidRDefault="006C2966" w:rsidP="00BA1EF7">
      <w:pPr>
        <w:pStyle w:val="Standard"/>
        <w:spacing w:before="100" w:beforeAutospacing="1" w:after="100" w:afterAutospacing="1" w:line="360" w:lineRule="auto"/>
        <w:contextualSpacing/>
        <w:rPr>
          <w:rFonts w:ascii="Arial" w:hAnsi="Arial" w:cs="Arial"/>
        </w:rPr>
      </w:pPr>
    </w:p>
    <w:p w14:paraId="60B4A6FE" w14:textId="79D5A2F9" w:rsidR="00A674C7" w:rsidRPr="00D55E87" w:rsidRDefault="001E4FAB" w:rsidP="00BA1EF7">
      <w:pPr>
        <w:pStyle w:val="Standard"/>
        <w:spacing w:before="100" w:beforeAutospacing="1" w:after="100" w:afterAutospacing="1" w:line="360" w:lineRule="auto"/>
        <w:contextualSpacing/>
        <w:rPr>
          <w:rFonts w:ascii="Arial" w:hAnsi="Arial" w:cs="Arial"/>
          <w:color w:val="000000"/>
        </w:rPr>
      </w:pPr>
      <w:r w:rsidRPr="00D55E87">
        <w:rPr>
          <w:rFonts w:ascii="Arial" w:hAnsi="Arial" w:cs="Arial"/>
          <w:color w:val="000000"/>
        </w:rPr>
        <w:t>Reforming o</w:t>
      </w:r>
      <w:r w:rsidR="0067690B" w:rsidRPr="00D55E87">
        <w:rPr>
          <w:rFonts w:ascii="Arial" w:hAnsi="Arial" w:cs="Arial"/>
          <w:color w:val="000000"/>
        </w:rPr>
        <w:t xml:space="preserve">ur political institutions in the direction of </w:t>
      </w:r>
      <w:r w:rsidR="001E56F5" w:rsidRPr="00D55E87">
        <w:rPr>
          <w:rFonts w:ascii="Arial" w:hAnsi="Arial" w:cs="Arial"/>
          <w:color w:val="000000"/>
        </w:rPr>
        <w:t xml:space="preserve">a more </w:t>
      </w:r>
      <w:r w:rsidR="0067690B" w:rsidRPr="00D55E87">
        <w:rPr>
          <w:rFonts w:ascii="Arial" w:hAnsi="Arial" w:cs="Arial"/>
          <w:color w:val="000000"/>
        </w:rPr>
        <w:t xml:space="preserve">participatory democracy </w:t>
      </w:r>
      <w:r w:rsidR="00190D7C" w:rsidRPr="00D55E87">
        <w:rPr>
          <w:rFonts w:ascii="Arial" w:hAnsi="Arial" w:cs="Arial"/>
          <w:color w:val="000000"/>
        </w:rPr>
        <w:t xml:space="preserve">would require </w:t>
      </w:r>
      <w:r w:rsidR="00BE7817" w:rsidRPr="00D55E87">
        <w:rPr>
          <w:rFonts w:ascii="Arial" w:hAnsi="Arial" w:cs="Arial"/>
          <w:color w:val="000000"/>
        </w:rPr>
        <w:t>changing</w:t>
      </w:r>
      <w:r w:rsidR="009758DD" w:rsidRPr="00D55E87">
        <w:rPr>
          <w:rFonts w:ascii="Arial" w:hAnsi="Arial" w:cs="Arial"/>
          <w:color w:val="000000"/>
        </w:rPr>
        <w:t xml:space="preserve"> constitutional and administrative law</w:t>
      </w:r>
      <w:r w:rsidR="005C567C" w:rsidRPr="00D55E87">
        <w:rPr>
          <w:rFonts w:ascii="Arial" w:hAnsi="Arial" w:cs="Arial"/>
          <w:color w:val="000000"/>
        </w:rPr>
        <w:t>s</w:t>
      </w:r>
      <w:r w:rsidR="009758DD" w:rsidRPr="00D55E87">
        <w:rPr>
          <w:rFonts w:ascii="Arial" w:hAnsi="Arial" w:cs="Arial"/>
          <w:color w:val="000000"/>
        </w:rPr>
        <w:t xml:space="preserve">. </w:t>
      </w:r>
      <w:r w:rsidR="00496B14" w:rsidRPr="00D55E87">
        <w:rPr>
          <w:rFonts w:ascii="Arial" w:hAnsi="Arial" w:cs="Arial"/>
          <w:color w:val="000000"/>
        </w:rPr>
        <w:t xml:space="preserve">Socio-economic </w:t>
      </w:r>
      <w:r w:rsidR="00604D67" w:rsidRPr="00D55E87">
        <w:rPr>
          <w:rFonts w:ascii="Arial" w:hAnsi="Arial" w:cs="Arial"/>
          <w:color w:val="000000"/>
        </w:rPr>
        <w:t xml:space="preserve">human </w:t>
      </w:r>
      <w:r w:rsidR="00496B14" w:rsidRPr="00D55E87">
        <w:rPr>
          <w:rFonts w:ascii="Arial" w:hAnsi="Arial" w:cs="Arial"/>
          <w:color w:val="000000"/>
        </w:rPr>
        <w:t xml:space="preserve">rights </w:t>
      </w:r>
      <w:r w:rsidR="00582CB1" w:rsidRPr="00D55E87">
        <w:rPr>
          <w:rFonts w:ascii="Arial" w:hAnsi="Arial" w:cs="Arial"/>
          <w:color w:val="000000"/>
        </w:rPr>
        <w:lastRenderedPageBreak/>
        <w:t xml:space="preserve">could </w:t>
      </w:r>
      <w:r w:rsidR="005A5568" w:rsidRPr="00D55E87">
        <w:rPr>
          <w:rFonts w:ascii="Arial" w:hAnsi="Arial" w:cs="Arial"/>
          <w:color w:val="000000"/>
        </w:rPr>
        <w:t xml:space="preserve">improve material living conditions, </w:t>
      </w:r>
      <w:r w:rsidR="00184455" w:rsidRPr="00D55E87">
        <w:rPr>
          <w:rFonts w:ascii="Arial" w:hAnsi="Arial" w:cs="Arial"/>
          <w:color w:val="000000"/>
        </w:rPr>
        <w:t>such as rights to housing,</w:t>
      </w:r>
      <w:r w:rsidR="006E5B76" w:rsidRPr="00D55E87">
        <w:rPr>
          <w:rStyle w:val="FootnoteReference"/>
          <w:rFonts w:ascii="Arial" w:hAnsi="Arial" w:cs="Arial"/>
          <w:color w:val="000000"/>
        </w:rPr>
        <w:footnoteReference w:id="28"/>
      </w:r>
      <w:r w:rsidR="00184455" w:rsidRPr="00D55E87">
        <w:rPr>
          <w:rFonts w:ascii="Arial" w:hAnsi="Arial" w:cs="Arial"/>
          <w:color w:val="000000"/>
        </w:rPr>
        <w:t xml:space="preserve"> an adequate living wage</w:t>
      </w:r>
      <w:r w:rsidR="00997D30" w:rsidRPr="00D55E87">
        <w:rPr>
          <w:rStyle w:val="FootnoteReference"/>
          <w:rFonts w:ascii="Arial" w:hAnsi="Arial" w:cs="Arial"/>
          <w:color w:val="000000"/>
        </w:rPr>
        <w:footnoteReference w:id="29"/>
      </w:r>
      <w:r w:rsidR="00184455" w:rsidRPr="00D55E87">
        <w:rPr>
          <w:rFonts w:ascii="Arial" w:hAnsi="Arial" w:cs="Arial"/>
          <w:color w:val="000000"/>
        </w:rPr>
        <w:t xml:space="preserve"> and social security.</w:t>
      </w:r>
      <w:r w:rsidR="00E908C0" w:rsidRPr="00D55E87">
        <w:rPr>
          <w:rStyle w:val="FootnoteReference"/>
          <w:rFonts w:ascii="Arial" w:hAnsi="Arial" w:cs="Arial"/>
          <w:color w:val="000000"/>
        </w:rPr>
        <w:footnoteReference w:id="30"/>
      </w:r>
      <w:r w:rsidR="00D24D65" w:rsidRPr="00D55E87">
        <w:rPr>
          <w:rFonts w:ascii="Arial" w:hAnsi="Arial" w:cs="Arial"/>
          <w:color w:val="000000"/>
        </w:rPr>
        <w:t xml:space="preserve"> </w:t>
      </w:r>
      <w:r w:rsidR="008368B2" w:rsidRPr="00D55E87">
        <w:rPr>
          <w:rFonts w:ascii="Arial" w:hAnsi="Arial" w:cs="Arial"/>
          <w:color w:val="000000"/>
        </w:rPr>
        <w:t>Improving trade union laws would increase democratic power in the economy</w:t>
      </w:r>
      <w:r w:rsidR="0028280C" w:rsidRPr="00D55E87">
        <w:rPr>
          <w:rFonts w:ascii="Arial" w:hAnsi="Arial" w:cs="Arial"/>
          <w:color w:val="000000"/>
        </w:rPr>
        <w:t xml:space="preserve">, while </w:t>
      </w:r>
      <w:r w:rsidR="00342EF4" w:rsidRPr="00D55E87">
        <w:rPr>
          <w:rFonts w:ascii="Arial" w:hAnsi="Arial" w:cs="Arial"/>
          <w:color w:val="000000"/>
        </w:rPr>
        <w:t>reform</w:t>
      </w:r>
      <w:r w:rsidR="00585937" w:rsidRPr="00D55E87">
        <w:rPr>
          <w:rFonts w:ascii="Arial" w:hAnsi="Arial" w:cs="Arial"/>
          <w:color w:val="000000"/>
        </w:rPr>
        <w:t>ing</w:t>
      </w:r>
      <w:r w:rsidR="00342EF4" w:rsidRPr="00D55E87">
        <w:rPr>
          <w:rFonts w:ascii="Arial" w:hAnsi="Arial" w:cs="Arial"/>
          <w:color w:val="000000"/>
        </w:rPr>
        <w:t xml:space="preserve"> corporate law </w:t>
      </w:r>
      <w:r w:rsidR="00A3290F" w:rsidRPr="00D55E87">
        <w:rPr>
          <w:rFonts w:ascii="Arial" w:hAnsi="Arial" w:cs="Arial"/>
          <w:color w:val="000000"/>
        </w:rPr>
        <w:t>to require business activity to be net-positive for workers, society and the environment</w:t>
      </w:r>
      <w:r w:rsidR="0028280C" w:rsidRPr="00D55E87">
        <w:rPr>
          <w:rFonts w:ascii="Arial" w:hAnsi="Arial" w:cs="Arial"/>
          <w:color w:val="000000"/>
        </w:rPr>
        <w:t xml:space="preserve">, </w:t>
      </w:r>
      <w:r w:rsidR="00D7064D" w:rsidRPr="00D55E87">
        <w:rPr>
          <w:rFonts w:ascii="Arial" w:hAnsi="Arial" w:cs="Arial"/>
          <w:color w:val="000000"/>
        </w:rPr>
        <w:t xml:space="preserve">alongside giving </w:t>
      </w:r>
      <w:r w:rsidR="00A3290F" w:rsidRPr="00D55E87">
        <w:rPr>
          <w:rFonts w:ascii="Arial" w:hAnsi="Arial" w:cs="Arial"/>
          <w:color w:val="000000"/>
        </w:rPr>
        <w:t xml:space="preserve">stakeholders more control over business </w:t>
      </w:r>
      <w:r w:rsidR="0028280C" w:rsidRPr="00D55E87">
        <w:rPr>
          <w:rFonts w:ascii="Arial" w:hAnsi="Arial" w:cs="Arial"/>
          <w:color w:val="000000"/>
        </w:rPr>
        <w:t xml:space="preserve">activity, would work towards </w:t>
      </w:r>
      <w:r w:rsidR="00A3290F" w:rsidRPr="00D55E87">
        <w:rPr>
          <w:rFonts w:ascii="Arial" w:hAnsi="Arial" w:cs="Arial"/>
          <w:color w:val="000000"/>
        </w:rPr>
        <w:t>economic democracy.</w:t>
      </w:r>
      <w:r w:rsidR="00837294" w:rsidRPr="00D55E87">
        <w:rPr>
          <w:rStyle w:val="FootnoteReference"/>
          <w:rFonts w:ascii="Arial" w:hAnsi="Arial" w:cs="Arial"/>
          <w:color w:val="000000"/>
        </w:rPr>
        <w:footnoteReference w:id="31"/>
      </w:r>
      <w:r w:rsidR="00496B14" w:rsidRPr="00D55E87">
        <w:rPr>
          <w:rFonts w:ascii="Arial" w:hAnsi="Arial" w:cs="Arial"/>
          <w:color w:val="000000"/>
        </w:rPr>
        <w:t xml:space="preserve"> </w:t>
      </w:r>
      <w:r w:rsidR="0067690B" w:rsidRPr="00D55E87">
        <w:rPr>
          <w:rFonts w:ascii="Arial" w:hAnsi="Arial" w:cs="Arial"/>
          <w:color w:val="000000"/>
        </w:rPr>
        <w:t xml:space="preserve">The places we spend our time, physically and digitally, could not only </w:t>
      </w:r>
      <w:r w:rsidR="00DD1555" w:rsidRPr="00D55E87">
        <w:rPr>
          <w:rFonts w:ascii="Arial" w:hAnsi="Arial" w:cs="Arial"/>
          <w:color w:val="000000"/>
        </w:rPr>
        <w:t xml:space="preserve">be </w:t>
      </w:r>
      <w:r w:rsidR="0067690B" w:rsidRPr="00D55E87">
        <w:rPr>
          <w:rFonts w:ascii="Arial" w:hAnsi="Arial" w:cs="Arial"/>
          <w:color w:val="000000"/>
        </w:rPr>
        <w:t>governed by Law but collectively self-governed by those who use them.</w:t>
      </w:r>
      <w:r w:rsidR="00004DE2" w:rsidRPr="00D55E87">
        <w:rPr>
          <w:rStyle w:val="FootnoteReference"/>
          <w:rFonts w:ascii="Arial" w:hAnsi="Arial" w:cs="Arial"/>
          <w:color w:val="000000"/>
        </w:rPr>
        <w:footnoteReference w:id="32"/>
      </w:r>
      <w:r w:rsidR="0067690B" w:rsidRPr="00D55E87">
        <w:rPr>
          <w:rFonts w:ascii="Arial" w:hAnsi="Arial" w:cs="Arial"/>
          <w:color w:val="000000"/>
        </w:rPr>
        <w:t xml:space="preserve"> Non-human aspects of nature could be given legal rights to protect their ecological integrity</w:t>
      </w:r>
      <w:r w:rsidR="002777FF" w:rsidRPr="00D55E87">
        <w:rPr>
          <w:rFonts w:ascii="Arial" w:hAnsi="Arial" w:cs="Arial"/>
          <w:color w:val="000000"/>
        </w:rPr>
        <w:t xml:space="preserve">, </w:t>
      </w:r>
      <w:r w:rsidR="005E5709" w:rsidRPr="00D55E87">
        <w:rPr>
          <w:rFonts w:ascii="Arial" w:hAnsi="Arial" w:cs="Arial"/>
          <w:color w:val="000000"/>
        </w:rPr>
        <w:t xml:space="preserve">exercised on nature’s behalf </w:t>
      </w:r>
      <w:r w:rsidR="00A7092C" w:rsidRPr="00D55E87">
        <w:rPr>
          <w:rFonts w:ascii="Arial" w:hAnsi="Arial" w:cs="Arial"/>
          <w:color w:val="000000"/>
        </w:rPr>
        <w:t xml:space="preserve">by </w:t>
      </w:r>
      <w:r w:rsidR="008F38CE" w:rsidRPr="00D55E87">
        <w:rPr>
          <w:rFonts w:ascii="Arial" w:hAnsi="Arial" w:cs="Arial"/>
          <w:color w:val="000000"/>
        </w:rPr>
        <w:t xml:space="preserve">NGOs and </w:t>
      </w:r>
      <w:r w:rsidR="0067690B" w:rsidRPr="00D55E87">
        <w:rPr>
          <w:rFonts w:ascii="Arial" w:hAnsi="Arial" w:cs="Arial"/>
          <w:color w:val="000000"/>
        </w:rPr>
        <w:t>local communities</w:t>
      </w:r>
      <w:r w:rsidR="00A7092C" w:rsidRPr="00D55E87">
        <w:rPr>
          <w:rFonts w:ascii="Arial" w:hAnsi="Arial" w:cs="Arial"/>
          <w:color w:val="000000"/>
        </w:rPr>
        <w:t>.</w:t>
      </w:r>
      <w:r w:rsidR="0061711D" w:rsidRPr="00D55E87">
        <w:rPr>
          <w:rStyle w:val="FootnoteReference"/>
          <w:rFonts w:ascii="Arial" w:hAnsi="Arial" w:cs="Arial"/>
          <w:color w:val="000000"/>
        </w:rPr>
        <w:footnoteReference w:id="33"/>
      </w:r>
    </w:p>
    <w:p w14:paraId="600DAECE" w14:textId="77777777" w:rsidR="00126D37" w:rsidRPr="00D55E87" w:rsidRDefault="00126D37" w:rsidP="00BA1EF7">
      <w:pPr>
        <w:pStyle w:val="Standard"/>
        <w:spacing w:before="100" w:beforeAutospacing="1" w:after="100" w:afterAutospacing="1" w:line="360" w:lineRule="auto"/>
        <w:contextualSpacing/>
        <w:rPr>
          <w:rFonts w:ascii="Arial" w:hAnsi="Arial" w:cs="Arial"/>
          <w:color w:val="000000"/>
        </w:rPr>
      </w:pPr>
    </w:p>
    <w:p w14:paraId="4DC2D210" w14:textId="77777777" w:rsidR="00126D37" w:rsidRPr="00D55E87" w:rsidRDefault="00126D37" w:rsidP="00BA1EF7">
      <w:pPr>
        <w:pStyle w:val="Standard"/>
        <w:spacing w:before="100" w:beforeAutospacing="1" w:after="100" w:afterAutospacing="1" w:line="360" w:lineRule="auto"/>
        <w:contextualSpacing/>
        <w:rPr>
          <w:rFonts w:ascii="Arial" w:hAnsi="Arial" w:cs="Arial"/>
          <w:color w:val="000000"/>
        </w:rPr>
      </w:pPr>
    </w:p>
    <w:p w14:paraId="43BD00D5" w14:textId="44D5C0F2" w:rsidR="00126D37" w:rsidRPr="00D55E87" w:rsidRDefault="00126D37">
      <w:pPr>
        <w:rPr>
          <w:rFonts w:ascii="Arial" w:hAnsi="Arial" w:cs="Arial"/>
          <w:color w:val="000000"/>
        </w:rPr>
      </w:pPr>
      <w:r w:rsidRPr="00D55E87">
        <w:rPr>
          <w:rFonts w:ascii="Arial" w:hAnsi="Arial" w:cs="Arial"/>
          <w:color w:val="000000"/>
        </w:rPr>
        <w:br w:type="page"/>
      </w:r>
    </w:p>
    <w:p w14:paraId="2F7CB63B" w14:textId="3D2959FD" w:rsidR="00126D37" w:rsidRPr="00D55E87" w:rsidRDefault="00126D37" w:rsidP="00081D55">
      <w:pPr>
        <w:pStyle w:val="Standard"/>
        <w:spacing w:before="100" w:beforeAutospacing="1" w:after="100" w:afterAutospacing="1" w:line="360" w:lineRule="auto"/>
        <w:contextualSpacing/>
        <w:jc w:val="center"/>
        <w:rPr>
          <w:rFonts w:ascii="Arial" w:hAnsi="Arial" w:cs="Arial"/>
          <w:b/>
          <w:u w:val="single"/>
        </w:rPr>
      </w:pPr>
      <w:bookmarkStart w:id="1" w:name="docs-internal-guid-1860a488-7fff-ace2-52"/>
      <w:bookmarkEnd w:id="1"/>
      <w:r w:rsidRPr="00D55E87">
        <w:rPr>
          <w:rFonts w:ascii="Arial" w:hAnsi="Arial" w:cs="Arial"/>
          <w:u w:val="single"/>
        </w:rPr>
        <w:lastRenderedPageBreak/>
        <w:t xml:space="preserve">Nine Dots Prize Submission – </w:t>
      </w:r>
      <w:r w:rsidR="00081D55" w:rsidRPr="00D55E87">
        <w:rPr>
          <w:rFonts w:ascii="Arial" w:hAnsi="Arial" w:cs="Arial"/>
          <w:u w:val="single"/>
        </w:rPr>
        <w:t xml:space="preserve">Book Proposal </w:t>
      </w:r>
      <w:r w:rsidRPr="00D55E87">
        <w:rPr>
          <w:rFonts w:ascii="Arial" w:hAnsi="Arial" w:cs="Arial"/>
          <w:u w:val="single"/>
        </w:rPr>
        <w:t>Outline Structure</w:t>
      </w:r>
    </w:p>
    <w:p w14:paraId="5E67B0C6" w14:textId="77777777" w:rsidR="00126D37" w:rsidRPr="00D55E87" w:rsidRDefault="00126D37" w:rsidP="00126D37">
      <w:pPr>
        <w:pStyle w:val="Standard"/>
        <w:spacing w:before="100" w:beforeAutospacing="1" w:after="100" w:afterAutospacing="1" w:line="360" w:lineRule="auto"/>
        <w:contextualSpacing/>
        <w:rPr>
          <w:rFonts w:ascii="Arial" w:hAnsi="Arial" w:cs="Arial"/>
          <w:b/>
          <w:u w:val="single"/>
        </w:rPr>
      </w:pPr>
    </w:p>
    <w:p w14:paraId="4AF596BD" w14:textId="77777777" w:rsidR="00126D37" w:rsidRPr="00D55E87" w:rsidRDefault="00126D37" w:rsidP="00126D37">
      <w:pPr>
        <w:pStyle w:val="Standard"/>
        <w:spacing w:before="100" w:beforeAutospacing="1" w:after="100" w:afterAutospacing="1" w:line="360" w:lineRule="auto"/>
        <w:contextualSpacing/>
        <w:rPr>
          <w:rFonts w:ascii="Arial" w:hAnsi="Arial" w:cs="Arial"/>
          <w:bCs/>
        </w:rPr>
      </w:pPr>
      <w:r w:rsidRPr="00D55E87">
        <w:rPr>
          <w:rFonts w:ascii="Arial" w:hAnsi="Arial" w:cs="Arial"/>
          <w:bCs/>
        </w:rPr>
        <w:t>Working Title:</w:t>
      </w:r>
    </w:p>
    <w:p w14:paraId="4AA49F56" w14:textId="77777777" w:rsidR="00126D37" w:rsidRPr="00D55E87" w:rsidRDefault="00126D37" w:rsidP="00126D37">
      <w:pPr>
        <w:pStyle w:val="Standard"/>
        <w:spacing w:before="100" w:beforeAutospacing="1" w:after="100" w:afterAutospacing="1" w:line="360" w:lineRule="auto"/>
        <w:contextualSpacing/>
        <w:jc w:val="center"/>
        <w:rPr>
          <w:rFonts w:ascii="Arial" w:hAnsi="Arial" w:cs="Arial"/>
          <w:i/>
          <w:iCs/>
          <w:sz w:val="36"/>
          <w:szCs w:val="36"/>
        </w:rPr>
      </w:pPr>
      <w:r w:rsidRPr="00D55E87">
        <w:rPr>
          <w:rFonts w:ascii="Arial" w:hAnsi="Arial" w:cs="Arial"/>
          <w:b/>
          <w:sz w:val="36"/>
          <w:szCs w:val="36"/>
          <w:u w:val="single"/>
        </w:rPr>
        <w:t>Law and Democracy in the 21st</w:t>
      </w:r>
      <w:r w:rsidRPr="00D55E87">
        <w:rPr>
          <w:rFonts w:ascii="Arial" w:hAnsi="Arial" w:cs="Arial"/>
          <w:sz w:val="36"/>
          <w:szCs w:val="36"/>
          <w:u w:val="single"/>
        </w:rPr>
        <w:t xml:space="preserve"> </w:t>
      </w:r>
      <w:r w:rsidRPr="00D55E87">
        <w:rPr>
          <w:rFonts w:ascii="Arial" w:hAnsi="Arial" w:cs="Arial"/>
          <w:b/>
          <w:sz w:val="36"/>
          <w:szCs w:val="36"/>
          <w:u w:val="single"/>
        </w:rPr>
        <w:t>Century</w:t>
      </w:r>
    </w:p>
    <w:p w14:paraId="28817571" w14:textId="77777777" w:rsidR="00126D37" w:rsidRPr="00D55E87" w:rsidRDefault="00126D37" w:rsidP="00126D37">
      <w:pPr>
        <w:pStyle w:val="Standard"/>
        <w:spacing w:before="100" w:beforeAutospacing="1" w:after="100" w:afterAutospacing="1" w:line="360" w:lineRule="auto"/>
        <w:contextualSpacing/>
        <w:rPr>
          <w:rFonts w:ascii="Arial" w:hAnsi="Arial" w:cs="Arial"/>
          <w:i/>
          <w:iCs/>
        </w:rPr>
      </w:pPr>
      <w:r w:rsidRPr="00D55E87">
        <w:rPr>
          <w:rFonts w:ascii="Arial" w:hAnsi="Arial" w:cs="Arial"/>
          <w:i/>
          <w:iCs/>
        </w:rPr>
        <w:t>This book is about law, the current political crises, and law’s role in responding.</w:t>
      </w:r>
    </w:p>
    <w:p w14:paraId="05D0BA0B" w14:textId="77777777" w:rsidR="00126D37" w:rsidRPr="00D55E87" w:rsidRDefault="00126D37" w:rsidP="00126D37">
      <w:pPr>
        <w:pStyle w:val="Standard"/>
        <w:spacing w:before="100" w:beforeAutospacing="1" w:after="100" w:afterAutospacing="1" w:line="360" w:lineRule="auto"/>
        <w:contextualSpacing/>
        <w:rPr>
          <w:rFonts w:ascii="Arial" w:hAnsi="Arial" w:cs="Arial"/>
          <w:b/>
          <w:u w:val="single"/>
        </w:rPr>
      </w:pPr>
    </w:p>
    <w:p w14:paraId="098349AB" w14:textId="2EE79876" w:rsidR="00126D37" w:rsidRPr="00D55E87" w:rsidRDefault="00126D37" w:rsidP="00126D37">
      <w:pPr>
        <w:pStyle w:val="Standard"/>
        <w:spacing w:before="100" w:beforeAutospacing="1" w:after="100" w:afterAutospacing="1" w:line="360" w:lineRule="auto"/>
        <w:contextualSpacing/>
        <w:rPr>
          <w:rFonts w:ascii="Arial" w:hAnsi="Arial" w:cs="Arial"/>
          <w:b/>
          <w:u w:val="single"/>
        </w:rPr>
      </w:pPr>
      <w:r w:rsidRPr="00D55E87">
        <w:rPr>
          <w:rFonts w:ascii="Arial" w:hAnsi="Arial" w:cs="Arial"/>
          <w:b/>
          <w:u w:val="single"/>
        </w:rPr>
        <w:t>1: Introduction</w:t>
      </w:r>
    </w:p>
    <w:p w14:paraId="0CADE1E4"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05BFA739"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This chapter begin by setting the scene of Western society in crisis: liberal democracy is under attack; the social fabric is breaking down; gross inequalities are widely recognised yet ingrained; and ecological catastrophes are unfolding.</w:t>
      </w:r>
    </w:p>
    <w:p w14:paraId="247EDC72"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31DBD7BC"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Then it will sketch out the book’s main arguments. The initial chapters are about law, understanding it as a tool which can be used for good or evil and its role in reproducing the ever-developing social order. Understanding that law symbiotically reproduces society, we can see how law is implicated in perpetuating various social injustices.</w:t>
      </w:r>
    </w:p>
    <w:p w14:paraId="59F0045D"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67E43F0C"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The middle chapters are about what liberal democracy is, the political challenges we currently face, and why the Rule of Law is currently fragile. The political challenges of right-wing political movements, corporate power and growing individualism have caused the current fragility of the Rule of Law by conflicting with the norms the current legal system seeks to reproduce.</w:t>
      </w:r>
    </w:p>
    <w:p w14:paraId="3A539257"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3321EB6C"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The concluding chapters will argue that we need a radical rethink of democracy for the 21</w:t>
      </w:r>
      <w:r w:rsidRPr="00D55E87">
        <w:rPr>
          <w:rFonts w:ascii="Arial" w:hAnsi="Arial" w:cs="Arial"/>
          <w:vertAlign w:val="superscript"/>
        </w:rPr>
        <w:t>st</w:t>
      </w:r>
      <w:r w:rsidRPr="00D55E87">
        <w:rPr>
          <w:rFonts w:ascii="Arial" w:hAnsi="Arial" w:cs="Arial"/>
        </w:rPr>
        <w:t xml:space="preserve"> century, and look at what law’s role in this could be.</w:t>
      </w:r>
    </w:p>
    <w:p w14:paraId="37516394"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4865FA55"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0B41795B"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69D94FCE"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b/>
          <w:bCs/>
          <w:u w:val="single"/>
        </w:rPr>
        <w:t>2: Law as Social Reproduction</w:t>
      </w:r>
    </w:p>
    <w:p w14:paraId="50D77112"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065D4A3A" w14:textId="77777777" w:rsidR="00353628"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Society is a mesh of power struggles and conflicting social relations. Law is involved in structuring, mediating and challenging the existing social order. Power struggles play out in the legal system, which contains tensions and contradicting forces of both freedom and oppression. Understanding law as social reproduction lays the foundation for later </w:t>
      </w:r>
      <w:r w:rsidRPr="00D55E87">
        <w:rPr>
          <w:rFonts w:ascii="Arial" w:hAnsi="Arial" w:cs="Arial"/>
        </w:rPr>
        <w:lastRenderedPageBreak/>
        <w:t>chapters on the Rule of Law and how law can be used to transform society in a more just direction.</w:t>
      </w:r>
    </w:p>
    <w:p w14:paraId="361E5DD2" w14:textId="77777777" w:rsidR="00353628" w:rsidRPr="00D55E87" w:rsidRDefault="00353628" w:rsidP="00126D37">
      <w:pPr>
        <w:pStyle w:val="Standard"/>
        <w:spacing w:before="100" w:beforeAutospacing="1" w:after="100" w:afterAutospacing="1" w:line="360" w:lineRule="auto"/>
        <w:contextualSpacing/>
        <w:rPr>
          <w:rFonts w:ascii="Arial" w:hAnsi="Arial" w:cs="Arial"/>
        </w:rPr>
      </w:pPr>
    </w:p>
    <w:p w14:paraId="145798D6" w14:textId="43F5572E"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For example, law has been used as part of racial oppression and toward racial equality. Though it is often assumed that ‘law and order’ is good, what </w:t>
      </w:r>
      <w:proofErr w:type="gramStart"/>
      <w:r w:rsidRPr="00D55E87">
        <w:rPr>
          <w:rFonts w:ascii="Arial" w:hAnsi="Arial" w:cs="Arial"/>
        </w:rPr>
        <w:t>actually matters</w:t>
      </w:r>
      <w:proofErr w:type="gramEnd"/>
      <w:r w:rsidRPr="00D55E87">
        <w:rPr>
          <w:rFonts w:ascii="Arial" w:hAnsi="Arial" w:cs="Arial"/>
        </w:rPr>
        <w:t xml:space="preserve"> is the justice of the </w:t>
      </w:r>
      <w:proofErr w:type="gramStart"/>
      <w:r w:rsidRPr="00D55E87">
        <w:rPr>
          <w:rFonts w:ascii="Arial" w:hAnsi="Arial" w:cs="Arial"/>
        </w:rPr>
        <w:t>particular laws</w:t>
      </w:r>
      <w:proofErr w:type="gramEnd"/>
      <w:r w:rsidRPr="00D55E87">
        <w:rPr>
          <w:rFonts w:ascii="Arial" w:hAnsi="Arial" w:cs="Arial"/>
        </w:rPr>
        <w:t>.</w:t>
      </w:r>
    </w:p>
    <w:p w14:paraId="5AA68959" w14:textId="77777777" w:rsidR="00353628" w:rsidRPr="00D55E87" w:rsidRDefault="00353628" w:rsidP="00126D37">
      <w:pPr>
        <w:pStyle w:val="Standard"/>
        <w:spacing w:before="100" w:beforeAutospacing="1" w:after="100" w:afterAutospacing="1" w:line="360" w:lineRule="auto"/>
        <w:contextualSpacing/>
        <w:rPr>
          <w:rFonts w:ascii="Arial" w:hAnsi="Arial" w:cs="Arial"/>
        </w:rPr>
      </w:pPr>
    </w:p>
    <w:p w14:paraId="7F8F0CA6" w14:textId="46022086"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Law’s role in reproducing social relations will be explored using two examples. The first is sex work,</w:t>
      </w:r>
      <w:r w:rsidRPr="00D55E87">
        <w:rPr>
          <w:rFonts w:ascii="Arial" w:hAnsi="Arial" w:cs="Arial"/>
          <w:vertAlign w:val="superscript"/>
        </w:rPr>
        <w:footnoteReference w:id="34"/>
      </w:r>
      <w:r w:rsidRPr="00D55E87">
        <w:rPr>
          <w:rFonts w:ascii="Arial" w:hAnsi="Arial" w:cs="Arial"/>
        </w:rPr>
        <w:t xml:space="preserve"> looking at how different regulatory models affect the relational context of sex workers and that some laws </w:t>
      </w:r>
      <w:proofErr w:type="gramStart"/>
      <w:r w:rsidRPr="00D55E87">
        <w:rPr>
          <w:rFonts w:ascii="Arial" w:hAnsi="Arial" w:cs="Arial"/>
        </w:rPr>
        <w:t>actually make</w:t>
      </w:r>
      <w:proofErr w:type="gramEnd"/>
      <w:r w:rsidRPr="00D55E87">
        <w:rPr>
          <w:rFonts w:ascii="Arial" w:hAnsi="Arial" w:cs="Arial"/>
        </w:rPr>
        <w:t xml:space="preserve"> sex work more dangerous. The second is employment relations. Laws can either empower individuals or leave workers at the mercy of bosses in an unequal power dynamic, union rights can either be protected or outlawed, and the legal system entrenches the prevailing unequal class power dynamics.</w:t>
      </w:r>
    </w:p>
    <w:p w14:paraId="2DE54460"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4F7CEB52"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b/>
          <w:bCs/>
          <w:u w:val="single"/>
        </w:rPr>
        <w:t>3. The Rule of Law</w:t>
      </w:r>
    </w:p>
    <w:p w14:paraId="065C7778"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245FDF6F"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rPr>
        <w:t>Understanding better what law is, and that it can produce positive or negative social relations, this chapter moves onto the Rule of Law.</w:t>
      </w:r>
    </w:p>
    <w:p w14:paraId="0D0B5894"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0751E289"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rPr>
        <w:t>It will be argued that we should understand the Rule of Law as politically neutral,</w:t>
      </w:r>
      <w:r w:rsidRPr="00D55E87">
        <w:rPr>
          <w:rFonts w:ascii="Arial" w:hAnsi="Arial" w:cs="Arial"/>
          <w:vertAlign w:val="superscript"/>
        </w:rPr>
        <w:footnoteReference w:id="35"/>
      </w:r>
      <w:r w:rsidRPr="00D55E87">
        <w:rPr>
          <w:rFonts w:ascii="Arial" w:hAnsi="Arial" w:cs="Arial"/>
        </w:rPr>
        <w:t xml:space="preserve"> rejecting the mainstream position that it is good.</w:t>
      </w:r>
      <w:r w:rsidRPr="00D55E87">
        <w:rPr>
          <w:rFonts w:ascii="Arial" w:hAnsi="Arial" w:cs="Arial"/>
          <w:vertAlign w:val="superscript"/>
        </w:rPr>
        <w:footnoteReference w:id="36"/>
      </w:r>
      <w:r w:rsidRPr="00D55E87">
        <w:rPr>
          <w:rFonts w:ascii="Arial" w:hAnsi="Arial" w:cs="Arial"/>
        </w:rPr>
        <w:t xml:space="preserve"> The </w:t>
      </w:r>
      <w:proofErr w:type="gramStart"/>
      <w:r w:rsidRPr="00D55E87">
        <w:rPr>
          <w:rFonts w:ascii="Arial" w:hAnsi="Arial" w:cs="Arial"/>
        </w:rPr>
        <w:t>core essence</w:t>
      </w:r>
      <w:proofErr w:type="gramEnd"/>
      <w:r w:rsidRPr="00D55E87">
        <w:rPr>
          <w:rFonts w:ascii="Arial" w:hAnsi="Arial" w:cs="Arial"/>
        </w:rPr>
        <w:t xml:space="preserve"> of the Rule of Law is that law, not arbitrary power, shall reign supreme. What matters most is not whether law is ruling but the nature of the laws which are ruling.</w:t>
      </w:r>
    </w:p>
    <w:p w14:paraId="6B6C6128"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37D82EFF"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rPr>
        <w:t>Separating the Rule of Law from liberal democracy makes clearer that the Rule of Law is currently fragile because attacks on liberal democracy clash with the liberal values the legal system is currently reproducing.</w:t>
      </w:r>
    </w:p>
    <w:p w14:paraId="7B8FC307"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5539CDF1"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259E6DB2"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49E302A8"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b/>
          <w:bCs/>
          <w:u w:val="single"/>
        </w:rPr>
        <w:t>4. Liberal Democracy in Crisis</w:t>
      </w:r>
    </w:p>
    <w:p w14:paraId="35C44641"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45C8030E"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Liberal democracy,</w:t>
      </w:r>
      <w:r w:rsidRPr="00D55E87">
        <w:rPr>
          <w:rFonts w:ascii="Arial" w:hAnsi="Arial" w:cs="Arial"/>
          <w:vertAlign w:val="superscript"/>
        </w:rPr>
        <w:footnoteReference w:id="37"/>
      </w:r>
      <w:r w:rsidRPr="00D55E87">
        <w:rPr>
          <w:rFonts w:ascii="Arial" w:hAnsi="Arial" w:cs="Arial"/>
        </w:rPr>
        <w:t xml:space="preserve"> the dominant political thinking for at least the last century, is in crisis. Against the political challenges of right-wing movements, corporate power and individualism. The status quo not only doesn’t work but is falling apart.</w:t>
      </w:r>
    </w:p>
    <w:p w14:paraId="252A08F4"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58A63C73"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This chapter will set out liberal democracy and the specific role it has for law, covering classical liberalism, social liberalism and neoliberalism. Then it will cover the shortcomings of liberal democracy in its failures to secure a democratic distribution of power, social justice and material wellbeing.</w:t>
      </w:r>
    </w:p>
    <w:p w14:paraId="7C69F060"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07378299"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It will then turn to the huge political challenges of our time: (1) right-wing political movements, which wish </w:t>
      </w:r>
      <w:proofErr w:type="gramStart"/>
      <w:r w:rsidRPr="00D55E87">
        <w:rPr>
          <w:rFonts w:ascii="Arial" w:hAnsi="Arial" w:cs="Arial"/>
        </w:rPr>
        <w:t>be</w:t>
      </w:r>
      <w:proofErr w:type="gramEnd"/>
      <w:r w:rsidRPr="00D55E87">
        <w:rPr>
          <w:rFonts w:ascii="Arial" w:hAnsi="Arial" w:cs="Arial"/>
        </w:rPr>
        <w:t xml:space="preserve"> unconstrained by liberal legal norms and introduce authoritarian laws; (2) the dominance of corporate power; (3) individualism, which disintegrates the very notion of living in society.</w:t>
      </w:r>
    </w:p>
    <w:p w14:paraId="7799D476"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6378AB80"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As well as how </w:t>
      </w:r>
      <w:proofErr w:type="gramStart"/>
      <w:r w:rsidRPr="00D55E87">
        <w:rPr>
          <w:rFonts w:ascii="Arial" w:hAnsi="Arial" w:cs="Arial"/>
        </w:rPr>
        <w:t>these attack</w:t>
      </w:r>
      <w:proofErr w:type="gramEnd"/>
      <w:r w:rsidRPr="00D55E87">
        <w:rPr>
          <w:rFonts w:ascii="Arial" w:hAnsi="Arial" w:cs="Arial"/>
        </w:rPr>
        <w:t xml:space="preserve"> liberal democracy, it will also analyse why they cause the current fragility of the Rule of Law. Right-wing movements are not against the Rule of Law in general, only against the liberal norms the current legal system reproduces: a robust authoritarian legal system is their goal.</w:t>
      </w:r>
    </w:p>
    <w:p w14:paraId="2758386D"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7E7968CA"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b/>
          <w:bCs/>
          <w:u w:val="single"/>
        </w:rPr>
        <w:t>5. Taking Democracy Seriously</w:t>
      </w:r>
    </w:p>
    <w:p w14:paraId="12B5FA42"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6A4E669A"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A bold vision is needed to head off the challenges of authoritarian government and corporate domination. Liberal democracy is not the end of history: we can do better. This chapter will take seriously the radical claim of democracy as collective self-rule.</w:t>
      </w:r>
    </w:p>
    <w:p w14:paraId="5CC31DBA"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4458451B"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lastRenderedPageBreak/>
        <w:t>This chapter will survey different strands of radical democratic thinking. Participatory democracy means citizens being directly involved in political decisions, such as through Citizens Assemblies. Economic democracy entails a shift in power away from corporate decision-makers to workers, customers and the broader public. Collective decision-making over the spaces we live, physically and digitally, is claimed by the ‘Right to the City’. Earth democracy means shifting to an ecocentric approach by giving non-human aspects of nature representation in our decision-making.</w:t>
      </w:r>
    </w:p>
    <w:p w14:paraId="0960032A"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43661A61"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r w:rsidRPr="00D55E87">
        <w:rPr>
          <w:rFonts w:ascii="Arial" w:hAnsi="Arial" w:cs="Arial"/>
          <w:b/>
          <w:bCs/>
          <w:u w:val="single"/>
        </w:rPr>
        <w:t>6. Law’s Emancipatory Potential</w:t>
      </w:r>
    </w:p>
    <w:p w14:paraId="3F0ED6F3" w14:textId="77777777" w:rsidR="00126D37" w:rsidRPr="00D55E87" w:rsidRDefault="00126D37" w:rsidP="00126D37">
      <w:pPr>
        <w:pStyle w:val="Standard"/>
        <w:spacing w:before="100" w:beforeAutospacing="1" w:after="100" w:afterAutospacing="1" w:line="360" w:lineRule="auto"/>
        <w:contextualSpacing/>
        <w:rPr>
          <w:rFonts w:ascii="Arial" w:hAnsi="Arial" w:cs="Arial"/>
          <w:b/>
          <w:bCs/>
          <w:u w:val="single"/>
        </w:rPr>
      </w:pPr>
    </w:p>
    <w:p w14:paraId="37590EB5"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This final chapter will return to law’s role in reproducing and changing social relations and survey how law would be part of helping us build a radical democratic society.</w:t>
      </w:r>
    </w:p>
    <w:p w14:paraId="6E95F4D7"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09DEDA10"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r w:rsidRPr="00D55E87">
        <w:rPr>
          <w:rFonts w:ascii="Arial" w:hAnsi="Arial" w:cs="Arial"/>
        </w:rPr>
        <w:t xml:space="preserve">This will </w:t>
      </w:r>
      <w:proofErr w:type="gramStart"/>
      <w:r w:rsidRPr="00D55E87">
        <w:rPr>
          <w:rFonts w:ascii="Arial" w:hAnsi="Arial" w:cs="Arial"/>
        </w:rPr>
        <w:t>cover:</w:t>
      </w:r>
      <w:proofErr w:type="gramEnd"/>
      <w:r w:rsidRPr="00D55E87">
        <w:rPr>
          <w:rFonts w:ascii="Arial" w:hAnsi="Arial" w:cs="Arial"/>
        </w:rPr>
        <w:t xml:space="preserve"> socio-economic rights, such as access to housing, food, water and healthcare, can improve </w:t>
      </w:r>
      <w:proofErr w:type="spellStart"/>
      <w:r w:rsidRPr="00D55E87">
        <w:rPr>
          <w:rFonts w:ascii="Arial" w:hAnsi="Arial" w:cs="Arial"/>
        </w:rPr>
        <w:t>peoples</w:t>
      </w:r>
      <w:proofErr w:type="spellEnd"/>
      <w:r w:rsidRPr="00D55E87">
        <w:rPr>
          <w:rFonts w:ascii="Arial" w:hAnsi="Arial" w:cs="Arial"/>
        </w:rPr>
        <w:t xml:space="preserve"> lives and show why a good legal system is worth having; how reforming constitutional and administrative laws, alongside improving people’s material conditions, can enhance participation in democracy. Greater worker rights, trade union rights and corporate law reform can move us from corporate domination towards economic democracy. Rights of Nature can entrench the protection of ecological integrity in our legal systems.</w:t>
      </w:r>
    </w:p>
    <w:p w14:paraId="45605853"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1C29510E"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781744F3"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2FBD0754"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01CEEE79" w14:textId="77777777" w:rsidR="00126D37" w:rsidRPr="00D55E87" w:rsidRDefault="00126D37" w:rsidP="00126D37">
      <w:pPr>
        <w:pStyle w:val="Standard"/>
        <w:spacing w:before="100" w:beforeAutospacing="1" w:after="100" w:afterAutospacing="1" w:line="360" w:lineRule="auto"/>
        <w:contextualSpacing/>
        <w:rPr>
          <w:rFonts w:ascii="Arial" w:hAnsi="Arial" w:cs="Arial"/>
        </w:rPr>
      </w:pPr>
    </w:p>
    <w:p w14:paraId="5757EE63" w14:textId="77777777" w:rsidR="00126D37" w:rsidRPr="00D55E87" w:rsidRDefault="00126D37" w:rsidP="00BA1EF7">
      <w:pPr>
        <w:pStyle w:val="Standard"/>
        <w:spacing w:before="100" w:beforeAutospacing="1" w:after="100" w:afterAutospacing="1" w:line="360" w:lineRule="auto"/>
        <w:contextualSpacing/>
        <w:rPr>
          <w:rFonts w:ascii="Arial" w:hAnsi="Arial" w:cs="Arial"/>
        </w:rPr>
      </w:pPr>
    </w:p>
    <w:sectPr w:rsidR="00126D37" w:rsidRPr="00D55E8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7575" w14:textId="77777777" w:rsidR="00B954B1" w:rsidRDefault="00B954B1">
      <w:pPr>
        <w:rPr>
          <w:rFonts w:hint="eastAsia"/>
        </w:rPr>
      </w:pPr>
      <w:r>
        <w:separator/>
      </w:r>
    </w:p>
  </w:endnote>
  <w:endnote w:type="continuationSeparator" w:id="0">
    <w:p w14:paraId="4871B4B4" w14:textId="77777777" w:rsidR="00B954B1" w:rsidRDefault="00B954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9980E" w14:textId="77777777" w:rsidR="00B954B1" w:rsidRDefault="00B954B1">
      <w:pPr>
        <w:rPr>
          <w:rFonts w:hint="eastAsia"/>
        </w:rPr>
      </w:pPr>
      <w:r>
        <w:rPr>
          <w:color w:val="000000"/>
        </w:rPr>
        <w:separator/>
      </w:r>
    </w:p>
  </w:footnote>
  <w:footnote w:type="continuationSeparator" w:id="0">
    <w:p w14:paraId="6F9507C9" w14:textId="77777777" w:rsidR="00B954B1" w:rsidRDefault="00B954B1">
      <w:pPr>
        <w:rPr>
          <w:rFonts w:hint="eastAsia"/>
        </w:rPr>
      </w:pPr>
      <w:r>
        <w:continuationSeparator/>
      </w:r>
    </w:p>
  </w:footnote>
  <w:footnote w:id="1">
    <w:p w14:paraId="6BBED6F0" w14:textId="17FA3013" w:rsidR="00A674C7" w:rsidRDefault="0067690B">
      <w:pPr>
        <w:pStyle w:val="Footnote"/>
        <w:rPr>
          <w:rFonts w:hint="eastAsia"/>
        </w:rPr>
      </w:pPr>
      <w:r>
        <w:rPr>
          <w:rStyle w:val="FootnoteReference"/>
        </w:rPr>
        <w:footnoteRef/>
      </w:r>
      <w:r w:rsidR="00B0282E">
        <w:tab/>
      </w:r>
      <w:r>
        <w:t>When</w:t>
      </w:r>
      <w:r w:rsidR="00B0282E">
        <w:t xml:space="preserve"> using the word ‘law’ in the meaning of ‘Law as a concept’ it will be </w:t>
      </w:r>
      <w:r>
        <w:t>capitalised to help distinguish it from ‘law’ in the sense of law as legislation etc.</w:t>
      </w:r>
    </w:p>
  </w:footnote>
  <w:footnote w:id="2">
    <w:p w14:paraId="1348A462" w14:textId="3E2C3862" w:rsidR="00A674C7" w:rsidRDefault="0067690B">
      <w:pPr>
        <w:pStyle w:val="Footnote"/>
        <w:rPr>
          <w:rFonts w:hint="eastAsia"/>
        </w:rPr>
      </w:pPr>
      <w:r>
        <w:rPr>
          <w:rStyle w:val="FootnoteReference"/>
        </w:rPr>
        <w:footnoteRef/>
      </w:r>
      <w:r w:rsidR="00216E2C">
        <w:tab/>
      </w:r>
      <w:r>
        <w:t xml:space="preserve">Costas </w:t>
      </w:r>
      <w:proofErr w:type="spellStart"/>
      <w:r>
        <w:t>Douzinas</w:t>
      </w:r>
      <w:proofErr w:type="spellEnd"/>
      <w:r>
        <w:t xml:space="preserve"> and Adam Gearey, </w:t>
      </w:r>
      <w:r>
        <w:rPr>
          <w:i/>
          <w:iCs/>
        </w:rPr>
        <w:t>Critical Jurisprudence: The Political Philosophy of Justice</w:t>
      </w:r>
      <w:r>
        <w:t xml:space="preserve"> (Hart Publishing, 2005) 5-11.</w:t>
      </w:r>
    </w:p>
  </w:footnote>
  <w:footnote w:id="3">
    <w:p w14:paraId="64D70C5B" w14:textId="12FD380D" w:rsidR="00A674C7" w:rsidRDefault="0067690B">
      <w:pPr>
        <w:pStyle w:val="Footnote"/>
        <w:rPr>
          <w:rFonts w:hint="eastAsia"/>
        </w:rPr>
      </w:pPr>
      <w:r>
        <w:rPr>
          <w:rStyle w:val="FootnoteReference"/>
        </w:rPr>
        <w:footnoteRef/>
      </w:r>
      <w:r w:rsidR="00216E2C">
        <w:tab/>
      </w:r>
      <w:r>
        <w:t xml:space="preserve">Jennifer Nedelsky, </w:t>
      </w:r>
      <w:r>
        <w:rPr>
          <w:i/>
          <w:iCs/>
        </w:rPr>
        <w:t xml:space="preserve">Law’s Relations </w:t>
      </w:r>
      <w:r>
        <w:t>(Oxford University Press 2011) Chapter 2.</w:t>
      </w:r>
    </w:p>
  </w:footnote>
  <w:footnote w:id="4">
    <w:p w14:paraId="2901E736" w14:textId="4B960CF6" w:rsidR="00A674C7" w:rsidRDefault="0067690B">
      <w:pPr>
        <w:pStyle w:val="Footnote"/>
        <w:rPr>
          <w:rFonts w:hint="eastAsia"/>
        </w:rPr>
      </w:pPr>
      <w:r>
        <w:rPr>
          <w:rStyle w:val="FootnoteReference"/>
        </w:rPr>
        <w:footnoteRef/>
      </w:r>
      <w:r w:rsidR="00216E2C">
        <w:tab/>
      </w:r>
      <w:r>
        <w:t xml:space="preserve">Robert Fine, ‘Marxism and the Social Theory of Law’ in </w:t>
      </w:r>
      <w:proofErr w:type="spellStart"/>
      <w:r>
        <w:t>Banakar</w:t>
      </w:r>
      <w:proofErr w:type="spellEnd"/>
      <w:r>
        <w:t xml:space="preserve"> and Travers (eds) </w:t>
      </w:r>
      <w:r w:rsidR="007F67F2">
        <w:rPr>
          <w:i/>
          <w:iCs/>
        </w:rPr>
        <w:t xml:space="preserve">Law and Social Theory </w:t>
      </w:r>
      <w:r w:rsidR="007F67F2">
        <w:t>(2</w:t>
      </w:r>
      <w:r w:rsidR="007F67F2" w:rsidRPr="007F67F2">
        <w:rPr>
          <w:vertAlign w:val="superscript"/>
        </w:rPr>
        <w:t>nd</w:t>
      </w:r>
      <w:r w:rsidR="007F67F2">
        <w:t xml:space="preserve"> edn, art Publishing 2013).</w:t>
      </w:r>
    </w:p>
  </w:footnote>
  <w:footnote w:id="5">
    <w:p w14:paraId="490FC886" w14:textId="788DB133" w:rsidR="00A674C7" w:rsidRDefault="0067690B">
      <w:pPr>
        <w:pStyle w:val="Footnote"/>
        <w:rPr>
          <w:rFonts w:hint="eastAsia"/>
        </w:rPr>
      </w:pPr>
      <w:r>
        <w:rPr>
          <w:rStyle w:val="FootnoteReference"/>
        </w:rPr>
        <w:footnoteRef/>
      </w:r>
      <w:r w:rsidR="00851465">
        <w:tab/>
      </w:r>
      <w:r>
        <w:t xml:space="preserve">The modern statement generally pointed to is A. V. Dicey, </w:t>
      </w:r>
      <w:r>
        <w:rPr>
          <w:i/>
          <w:iCs/>
        </w:rPr>
        <w:t xml:space="preserve">Lectures Introductory to the Study of the Law of the Constitution </w:t>
      </w:r>
      <w:r>
        <w:t>(Macmillan, London, 1885, 1</w:t>
      </w:r>
      <w:r>
        <w:rPr>
          <w:vertAlign w:val="superscript"/>
        </w:rPr>
        <w:t>st</w:t>
      </w:r>
      <w:r>
        <w:t xml:space="preserve"> ed.) but it is widely recognised that Dicey was stating something already accepted, such as by John Locke and Aristotle (see Jeremy Waldron, "The Rule of Law", The Stanford </w:t>
      </w:r>
      <w:proofErr w:type="spellStart"/>
      <w:r>
        <w:t>Encyclopedia</w:t>
      </w:r>
      <w:proofErr w:type="spellEnd"/>
      <w:r>
        <w:t xml:space="preserve"> of Philosophy (Summer 2020 Edition) available at: &lt;https://plato.stanford.edu/archives/sum2020/entries/rule-of-law/&gt;.</w:t>
      </w:r>
    </w:p>
  </w:footnote>
  <w:footnote w:id="6">
    <w:p w14:paraId="7D8CA893" w14:textId="0482CC48" w:rsidR="00A674C7" w:rsidRDefault="0067690B">
      <w:pPr>
        <w:pStyle w:val="Footnote"/>
        <w:rPr>
          <w:rFonts w:hint="eastAsia"/>
        </w:rPr>
      </w:pPr>
      <w:r>
        <w:rPr>
          <w:rStyle w:val="FootnoteReference"/>
        </w:rPr>
        <w:footnoteRef/>
      </w:r>
      <w:r w:rsidR="00851465">
        <w:tab/>
      </w:r>
      <w:r w:rsidR="009B616F">
        <w:t xml:space="preserve">See, for example, </w:t>
      </w:r>
      <w:r>
        <w:t>House of Lords Select Committee on Constitution, Sixth Report (2007) Appendix 5: Paper by Professor Paul Craig: The Rule of Law.</w:t>
      </w:r>
    </w:p>
  </w:footnote>
  <w:footnote w:id="7">
    <w:p w14:paraId="182BFED3" w14:textId="6A4634B3" w:rsidR="00A674C7" w:rsidRDefault="0067690B">
      <w:pPr>
        <w:pStyle w:val="Footnote"/>
        <w:rPr>
          <w:rFonts w:hint="eastAsia"/>
        </w:rPr>
      </w:pPr>
      <w:r>
        <w:rPr>
          <w:rStyle w:val="FootnoteReference"/>
        </w:rPr>
        <w:footnoteRef/>
      </w:r>
      <w:r w:rsidR="00851465">
        <w:tab/>
      </w:r>
      <w:r>
        <w:t xml:space="preserve">For example: Lon Fuller, </w:t>
      </w:r>
      <w:r>
        <w:rPr>
          <w:i/>
          <w:iCs/>
        </w:rPr>
        <w:t>The Morality of Law (</w:t>
      </w:r>
      <w:r>
        <w:t xml:space="preserve">1964, Yale University Press); Joseph Raz, ‘The Rule of Law and its Virtue’ in </w:t>
      </w:r>
      <w:r>
        <w:rPr>
          <w:i/>
          <w:iCs/>
        </w:rPr>
        <w:t>The Authority of Law</w:t>
      </w:r>
      <w:r>
        <w:t xml:space="preserve"> (2</w:t>
      </w:r>
      <w:r>
        <w:rPr>
          <w:vertAlign w:val="superscript"/>
        </w:rPr>
        <w:t>nd</w:t>
      </w:r>
      <w:r>
        <w:t xml:space="preserve"> edn, Oxford University Press 2009); Ronald Dworkin, </w:t>
      </w:r>
      <w:r>
        <w:rPr>
          <w:i/>
          <w:iCs/>
        </w:rPr>
        <w:t xml:space="preserve">A Matter of Principle </w:t>
      </w:r>
      <w:r>
        <w:t xml:space="preserve">(Oxford University Press 1985); Jeremy Waldron, ‘Is the rule of law an essentially contested concept (in Florida)? (2002) Law and Philosophy Vol 21 No 2, 137; Tom Bingham, </w:t>
      </w:r>
      <w:r>
        <w:rPr>
          <w:i/>
          <w:iCs/>
        </w:rPr>
        <w:t>The Rule of Law</w:t>
      </w:r>
      <w:r>
        <w:t xml:space="preserve"> (Penguin 2011).</w:t>
      </w:r>
    </w:p>
  </w:footnote>
  <w:footnote w:id="8">
    <w:p w14:paraId="6ADB9C06" w14:textId="1C44F9D4" w:rsidR="00A674C7" w:rsidRDefault="0067690B">
      <w:pPr>
        <w:pStyle w:val="Footnote"/>
        <w:rPr>
          <w:rFonts w:hint="eastAsia"/>
        </w:rPr>
      </w:pPr>
      <w:r>
        <w:rPr>
          <w:rStyle w:val="FootnoteReference"/>
        </w:rPr>
        <w:footnoteRef/>
      </w:r>
      <w:r w:rsidR="00645A1F">
        <w:tab/>
      </w:r>
      <w:r>
        <w:t>Jeremy Waldron, ‘Is the rule of law an essentially contested concept (in Florida)? (2002) Law and Philosophy Vol 21 No 2, 137, 154–155.</w:t>
      </w:r>
    </w:p>
  </w:footnote>
  <w:footnote w:id="9">
    <w:p w14:paraId="05FD74F0" w14:textId="5E501549" w:rsidR="00A674C7" w:rsidRDefault="0067690B">
      <w:pPr>
        <w:pStyle w:val="Footnote"/>
        <w:rPr>
          <w:rFonts w:hint="eastAsia"/>
        </w:rPr>
      </w:pPr>
      <w:r>
        <w:rPr>
          <w:rStyle w:val="FootnoteReference"/>
        </w:rPr>
        <w:footnoteRef/>
      </w:r>
      <w:r w:rsidR="00645A1F">
        <w:tab/>
      </w:r>
      <w:r>
        <w:t xml:space="preserve">HLA Hart, 'Lon L. Fuller: The Morality of Law' in </w:t>
      </w:r>
      <w:r>
        <w:rPr>
          <w:i/>
          <w:iCs/>
        </w:rPr>
        <w:t>Essays in Jurisprudence and Philosophy</w:t>
      </w:r>
      <w:r>
        <w:t xml:space="preserve"> (Oxford, 1983; online edn) Part II.</w:t>
      </w:r>
    </w:p>
  </w:footnote>
  <w:footnote w:id="10">
    <w:p w14:paraId="19A95B9C" w14:textId="40783A6D" w:rsidR="00A674C7" w:rsidRDefault="0067690B">
      <w:pPr>
        <w:pStyle w:val="Footnote"/>
        <w:rPr>
          <w:rFonts w:hint="eastAsia"/>
        </w:rPr>
      </w:pPr>
      <w:r>
        <w:rPr>
          <w:rStyle w:val="FootnoteReference"/>
        </w:rPr>
        <w:footnoteRef/>
      </w:r>
      <w:r w:rsidR="00645A1F">
        <w:tab/>
      </w:r>
      <w:r>
        <w:t xml:space="preserve">Tom Bingham, </w:t>
      </w:r>
      <w:r>
        <w:rPr>
          <w:i/>
          <w:iCs/>
        </w:rPr>
        <w:t>The Rule of Law</w:t>
      </w:r>
      <w:r>
        <w:t xml:space="preserve"> (Penguin 2011).</w:t>
      </w:r>
    </w:p>
  </w:footnote>
  <w:footnote w:id="11">
    <w:p w14:paraId="112C3F19" w14:textId="50148B3E" w:rsidR="00A674C7" w:rsidRDefault="0067690B">
      <w:pPr>
        <w:pStyle w:val="Footnote"/>
        <w:rPr>
          <w:rFonts w:hint="eastAsia"/>
        </w:rPr>
      </w:pPr>
      <w:r>
        <w:rPr>
          <w:rStyle w:val="FootnoteReference"/>
        </w:rPr>
        <w:footnoteRef/>
      </w:r>
      <w:r w:rsidR="00645A1F">
        <w:tab/>
      </w:r>
      <w:r>
        <w:t xml:space="preserve">Joseph Raz, ‘The Rule of Law and its Virtue’ in </w:t>
      </w:r>
      <w:r>
        <w:rPr>
          <w:i/>
          <w:iCs/>
        </w:rPr>
        <w:t>The Authority of Law</w:t>
      </w:r>
      <w:r>
        <w:t xml:space="preserve"> (2</w:t>
      </w:r>
      <w:r>
        <w:rPr>
          <w:vertAlign w:val="superscript"/>
        </w:rPr>
        <w:t>nd</w:t>
      </w:r>
      <w:r>
        <w:t xml:space="preserve"> edn, Oxford University Press 2009) 211.</w:t>
      </w:r>
    </w:p>
  </w:footnote>
  <w:footnote w:id="12">
    <w:p w14:paraId="1D09C157" w14:textId="77777777" w:rsidR="006C7FC1" w:rsidRDefault="006C7FC1" w:rsidP="006C7FC1">
      <w:pPr>
        <w:pStyle w:val="Footnote"/>
        <w:rPr>
          <w:rFonts w:hint="eastAsia"/>
        </w:rPr>
      </w:pPr>
      <w:r>
        <w:rPr>
          <w:rStyle w:val="FootnoteReference"/>
        </w:rPr>
        <w:footnoteRef/>
      </w:r>
      <w:r>
        <w:tab/>
        <w:t xml:space="preserve">Joseph Raz, ‘The Rule of Law and its Virtue’ in </w:t>
      </w:r>
      <w:r>
        <w:rPr>
          <w:i/>
          <w:iCs/>
        </w:rPr>
        <w:t>The Authority of Law</w:t>
      </w:r>
      <w:r>
        <w:t xml:space="preserve"> (2</w:t>
      </w:r>
      <w:r>
        <w:rPr>
          <w:vertAlign w:val="superscript"/>
        </w:rPr>
        <w:t>nd</w:t>
      </w:r>
      <w:r>
        <w:t xml:space="preserve"> edn, Oxford University Press 2009).</w:t>
      </w:r>
    </w:p>
  </w:footnote>
  <w:footnote w:id="13">
    <w:p w14:paraId="1A4ADA3C" w14:textId="77777777" w:rsidR="006C7FC1" w:rsidRDefault="006C7FC1" w:rsidP="006C7FC1">
      <w:pPr>
        <w:pStyle w:val="Footnote"/>
        <w:rPr>
          <w:rFonts w:hint="eastAsia"/>
        </w:rPr>
      </w:pPr>
      <w:r>
        <w:rPr>
          <w:rStyle w:val="FootnoteReference"/>
        </w:rPr>
        <w:footnoteRef/>
      </w:r>
      <w:r>
        <w:tab/>
        <w:t>Mark Bennett, ‘Hart and Raz on the Non-Instrumental Moral Value of the Rule of Law: A Reconsideration’ (2011) Law and Philosophy 603, 622-23 and 622-27.</w:t>
      </w:r>
    </w:p>
  </w:footnote>
  <w:footnote w:id="14">
    <w:p w14:paraId="697D6A3C" w14:textId="312FF9EC" w:rsidR="00A674C7" w:rsidRDefault="0067690B">
      <w:pPr>
        <w:pStyle w:val="Footnote"/>
        <w:rPr>
          <w:rFonts w:hint="eastAsia"/>
        </w:rPr>
      </w:pPr>
      <w:r>
        <w:rPr>
          <w:rStyle w:val="FootnoteReference"/>
        </w:rPr>
        <w:footnoteRef/>
      </w:r>
      <w:r w:rsidR="00645A1F">
        <w:tab/>
      </w:r>
      <w:r>
        <w:t xml:space="preserve">David Tucker, </w:t>
      </w:r>
      <w:r>
        <w:rPr>
          <w:i/>
          <w:iCs/>
        </w:rPr>
        <w:t xml:space="preserve">Essay on Liberalism </w:t>
      </w:r>
      <w:r>
        <w:t>(Springer Dordrecht 1994) 91.</w:t>
      </w:r>
    </w:p>
  </w:footnote>
  <w:footnote w:id="15">
    <w:p w14:paraId="0B617CEE" w14:textId="140D284A" w:rsidR="00A674C7" w:rsidRDefault="0067690B">
      <w:pPr>
        <w:pStyle w:val="Footnote"/>
        <w:rPr>
          <w:rFonts w:hint="eastAsia"/>
        </w:rPr>
      </w:pPr>
      <w:r>
        <w:rPr>
          <w:rStyle w:val="FootnoteReference"/>
        </w:rPr>
        <w:footnoteRef/>
      </w:r>
      <w:r w:rsidR="00645A1F">
        <w:tab/>
      </w:r>
      <w:r>
        <w:t xml:space="preserve">The 2019 Conservative Manifesto pledged to ensure that judicial review “is not abused to conduct politics by another means or to create needless delays: ‘Get Brexit Done Unleash Britain’s Potential’, The Conservative and Unionist Party Manifesto 2019 p48. This goes back to David Cameron, see </w:t>
      </w:r>
      <w:proofErr w:type="spellStart"/>
      <w:r>
        <w:t>eg</w:t>
      </w:r>
      <w:proofErr w:type="spellEnd"/>
      <w:r>
        <w:t xml:space="preserve">: Patrick Wintour and Owen Bowcott, ‘David Cameron plans broad clampdown on judicial review rights’ </w:t>
      </w:r>
      <w:r>
        <w:rPr>
          <w:i/>
          <w:iCs/>
        </w:rPr>
        <w:t xml:space="preserve">The Guardian </w:t>
      </w:r>
      <w:r>
        <w:t>(19 November 2012) available at &lt;</w:t>
      </w:r>
      <w:hyperlink r:id="rId1" w:history="1">
        <w:r>
          <w:t>https://www.theguardian.com/politics/2012/nov/19/david-cameron-clampdown-judicial-review</w:t>
        </w:r>
      </w:hyperlink>
      <w:r>
        <w:t>&gt;; Adam Wagner, ‘A War on Judicial Review?’ (</w:t>
      </w:r>
      <w:r>
        <w:rPr>
          <w:i/>
          <w:iCs/>
        </w:rPr>
        <w:t>UK Human Rights Blog</w:t>
      </w:r>
      <w:r>
        <w:t>, 19 November 2012) available at &lt;</w:t>
      </w:r>
      <w:hyperlink r:id="rId2" w:history="1">
        <w:r>
          <w:t>https://ukhumanrightsblog.com/2012/11/19/a-war-on-judicial-review/</w:t>
        </w:r>
      </w:hyperlink>
      <w:r>
        <w:rPr>
          <w:color w:val="000000"/>
        </w:rPr>
        <w:t>&gt;.</w:t>
      </w:r>
    </w:p>
  </w:footnote>
  <w:footnote w:id="16">
    <w:p w14:paraId="360276FA" w14:textId="514CE8F3" w:rsidR="00A674C7" w:rsidRDefault="0067690B">
      <w:pPr>
        <w:pStyle w:val="Footnote"/>
        <w:rPr>
          <w:rFonts w:hint="eastAsia"/>
        </w:rPr>
      </w:pPr>
      <w:r>
        <w:rPr>
          <w:rStyle w:val="FootnoteReference"/>
        </w:rPr>
        <w:footnoteRef/>
      </w:r>
      <w:r w:rsidR="00645A1F">
        <w:tab/>
      </w:r>
      <w:r>
        <w:t xml:space="preserve">Front pages of the </w:t>
      </w:r>
      <w:r>
        <w:rPr>
          <w:i/>
          <w:iCs/>
        </w:rPr>
        <w:t xml:space="preserve">Daily Mail </w:t>
      </w:r>
      <w:r>
        <w:t xml:space="preserve">and the </w:t>
      </w:r>
      <w:r>
        <w:rPr>
          <w:i/>
          <w:iCs/>
        </w:rPr>
        <w:t>Daily Telegraph</w:t>
      </w:r>
      <w:r>
        <w:t>, 4 November 2016.</w:t>
      </w:r>
    </w:p>
  </w:footnote>
  <w:footnote w:id="17">
    <w:p w14:paraId="179B175C" w14:textId="4B5B3E99" w:rsidR="00A674C7" w:rsidRDefault="0067690B">
      <w:pPr>
        <w:pStyle w:val="Footnote"/>
        <w:rPr>
          <w:rFonts w:hint="eastAsia"/>
        </w:rPr>
      </w:pPr>
      <w:r>
        <w:rPr>
          <w:rStyle w:val="FootnoteReference"/>
        </w:rPr>
        <w:footnoteRef/>
      </w:r>
      <w:r w:rsidR="00645A1F">
        <w:tab/>
      </w:r>
      <w:r>
        <w:t>The Triggering Article 50 case: R (Miller) v Secretary of State for Exiting the European Union [2017] UKSC 5. The case on the Prorogation of Parliament: R (Miller) v The Prime Minister [2019] UKSC 41.</w:t>
      </w:r>
    </w:p>
  </w:footnote>
  <w:footnote w:id="18">
    <w:p w14:paraId="33DBE34A" w14:textId="4A3E667B" w:rsidR="00A674C7" w:rsidRDefault="0067690B">
      <w:pPr>
        <w:pStyle w:val="Footnote"/>
        <w:rPr>
          <w:rFonts w:hint="eastAsia"/>
        </w:rPr>
      </w:pPr>
      <w:r>
        <w:rPr>
          <w:rStyle w:val="FootnoteReference"/>
        </w:rPr>
        <w:footnoteRef/>
      </w:r>
      <w:r w:rsidR="00645A1F">
        <w:tab/>
      </w:r>
      <w:r>
        <w:t xml:space="preserve">Adam Wagner, </w:t>
      </w:r>
      <w:r>
        <w:rPr>
          <w:i/>
          <w:iCs/>
        </w:rPr>
        <w:t xml:space="preserve">Emergency State: How We lost Our Freedoms in the Pandemic and Why it Matters </w:t>
      </w:r>
      <w:r>
        <w:t xml:space="preserve">(Bodley Head, 2022); Adam Wagner, ‘Boris Johnson’s Covid laws took away our rights with flick of a pen. Don’t let that happen again’ </w:t>
      </w:r>
      <w:r>
        <w:rPr>
          <w:i/>
          <w:iCs/>
        </w:rPr>
        <w:t>The Guardian</w:t>
      </w:r>
      <w:r>
        <w:t xml:space="preserve"> (13 October 2022) available at: &lt;</w:t>
      </w:r>
      <w:hyperlink r:id="rId3" w:history="1">
        <w:r>
          <w:t>https://www.theguardian.com/commentisfree/2022/oct/13/boris-johnson-covid-laws-rights-decree-two-years-democracy</w:t>
        </w:r>
      </w:hyperlink>
      <w:r>
        <w:t>&gt;.</w:t>
      </w:r>
    </w:p>
  </w:footnote>
  <w:footnote w:id="19">
    <w:p w14:paraId="15AB5092" w14:textId="598738BF" w:rsidR="00A674C7" w:rsidRDefault="0067690B">
      <w:pPr>
        <w:pStyle w:val="Footnote"/>
        <w:rPr>
          <w:rFonts w:hint="eastAsia"/>
        </w:rPr>
      </w:pPr>
      <w:r>
        <w:rPr>
          <w:rStyle w:val="FootnoteReference"/>
        </w:rPr>
        <w:footnoteRef/>
      </w:r>
      <w:r w:rsidR="007A7951">
        <w:tab/>
      </w:r>
      <w:r w:rsidR="00942813">
        <w:t xml:space="preserve"> </w:t>
      </w:r>
      <w:r>
        <w:t>European Union (Withdrawal) Act 2018 s 8</w:t>
      </w:r>
      <w:r w:rsidR="00942813">
        <w:t>; Retained EU Law (Revocation and Reform) Bill 2022 Clause 15 (of the version which passed 3</w:t>
      </w:r>
      <w:r w:rsidR="00942813" w:rsidRPr="00942813">
        <w:rPr>
          <w:vertAlign w:val="superscript"/>
        </w:rPr>
        <w:t>rd</w:t>
      </w:r>
      <w:r w:rsidR="00942813">
        <w:t xml:space="preserve"> reading in the House of Commons)</w:t>
      </w:r>
      <w:r w:rsidR="007A7951">
        <w:t xml:space="preserve">; Peter Foster and George Parker, </w:t>
      </w:r>
      <w:r w:rsidR="007A7951" w:rsidRPr="00B07B7C">
        <w:t>‘</w:t>
      </w:r>
      <w:r w:rsidR="007A7951" w:rsidRPr="00B07B7C">
        <w:rPr>
          <w:rFonts w:cs="Mangal"/>
          <w:szCs w:val="18"/>
        </w:rPr>
        <w:t>What is the UK’s Retained EU Law Bill and why is it so controversial?</w:t>
      </w:r>
      <w:r w:rsidR="007A7951">
        <w:t xml:space="preserve">’ </w:t>
      </w:r>
      <w:r w:rsidR="007A7951">
        <w:rPr>
          <w:i/>
          <w:iCs/>
        </w:rPr>
        <w:t xml:space="preserve">Financial Times </w:t>
      </w:r>
      <w:r w:rsidR="007A7951">
        <w:t>(London, 17 January 2023).</w:t>
      </w:r>
    </w:p>
  </w:footnote>
  <w:footnote w:id="20">
    <w:p w14:paraId="683EBDD7" w14:textId="6912F572" w:rsidR="00A674C7" w:rsidRDefault="0067690B">
      <w:pPr>
        <w:pStyle w:val="Footnote"/>
        <w:rPr>
          <w:rFonts w:hint="eastAsia"/>
        </w:rPr>
      </w:pPr>
      <w:r>
        <w:rPr>
          <w:rStyle w:val="FootnoteReference"/>
        </w:rPr>
        <w:footnoteRef/>
      </w:r>
      <w:r w:rsidR="007A7951">
        <w:rPr>
          <w:color w:val="000000"/>
        </w:rPr>
        <w:tab/>
      </w:r>
      <w:r>
        <w:rPr>
          <w:color w:val="000000"/>
        </w:rPr>
        <w:t>Hannah Arendt, The Origins of Totalitarianism (first published 1951, Harcourt 1968) 423-24.</w:t>
      </w:r>
    </w:p>
  </w:footnote>
  <w:footnote w:id="21">
    <w:p w14:paraId="4A05C1EA" w14:textId="175EFDAB" w:rsidR="00A674C7" w:rsidRDefault="0067690B">
      <w:pPr>
        <w:pStyle w:val="Footnote"/>
        <w:rPr>
          <w:rFonts w:hint="eastAsia"/>
        </w:rPr>
      </w:pPr>
      <w:r>
        <w:rPr>
          <w:rStyle w:val="FootnoteReference"/>
        </w:rPr>
        <w:footnoteRef/>
      </w:r>
      <w:r w:rsidR="007A7951">
        <w:tab/>
      </w:r>
      <w:r w:rsidR="00A460D2">
        <w:t>i</w:t>
      </w:r>
      <w:r>
        <w:t>bid 447.</w:t>
      </w:r>
    </w:p>
  </w:footnote>
  <w:footnote w:id="22">
    <w:p w14:paraId="1F86574F" w14:textId="09810BA6" w:rsidR="0080604D" w:rsidRDefault="0080604D" w:rsidP="0080604D">
      <w:pPr>
        <w:pStyle w:val="Footnote"/>
        <w:rPr>
          <w:rFonts w:hint="eastAsia"/>
        </w:rPr>
      </w:pPr>
      <w:r>
        <w:rPr>
          <w:rStyle w:val="FootnoteReference"/>
        </w:rPr>
        <w:footnoteRef/>
      </w:r>
      <w:r w:rsidR="00CC0BE4">
        <w:tab/>
      </w:r>
      <w:r>
        <w:t xml:space="preserve">For example, Friedrich Hayek, </w:t>
      </w:r>
      <w:r>
        <w:rPr>
          <w:i/>
          <w:iCs/>
        </w:rPr>
        <w:t xml:space="preserve">The Road to Serfdom </w:t>
      </w:r>
      <w:r>
        <w:t xml:space="preserve">(Routledge Press 1944) and Milton Friedman </w:t>
      </w:r>
      <w:r>
        <w:rPr>
          <w:i/>
          <w:iCs/>
        </w:rPr>
        <w:t xml:space="preserve">Capitalism and Freedom </w:t>
      </w:r>
      <w:r>
        <w:t>(University of Chicago Press 1962).</w:t>
      </w:r>
    </w:p>
  </w:footnote>
  <w:footnote w:id="23">
    <w:p w14:paraId="68982B5A" w14:textId="314DC114" w:rsidR="002C7B64" w:rsidRDefault="002C7B64" w:rsidP="002C7B64">
      <w:pPr>
        <w:pStyle w:val="Footnote"/>
        <w:rPr>
          <w:rFonts w:hint="eastAsia"/>
        </w:rPr>
      </w:pPr>
      <w:r>
        <w:rPr>
          <w:rStyle w:val="FootnoteReference"/>
        </w:rPr>
        <w:footnoteRef/>
      </w:r>
      <w:r w:rsidR="00CC0BE4">
        <w:tab/>
      </w:r>
      <w:r>
        <w:t xml:space="preserve">Carl Rhodes, </w:t>
      </w:r>
      <w:r>
        <w:rPr>
          <w:i/>
          <w:iCs/>
        </w:rPr>
        <w:t xml:space="preserve">Woke Capitalism: How Corporate Morality is Sabotaging Democracy </w:t>
      </w:r>
      <w:r>
        <w:t>(Bristol University Press, 2022).</w:t>
      </w:r>
    </w:p>
  </w:footnote>
  <w:footnote w:id="24">
    <w:p w14:paraId="6286152F" w14:textId="79A18560" w:rsidR="00A674C7" w:rsidRDefault="0067690B">
      <w:pPr>
        <w:pStyle w:val="Footnote"/>
        <w:rPr>
          <w:rFonts w:hint="eastAsia"/>
        </w:rPr>
      </w:pPr>
      <w:r>
        <w:rPr>
          <w:rStyle w:val="FootnoteReference"/>
        </w:rPr>
        <w:footnoteRef/>
      </w:r>
      <w:r w:rsidR="00CC0BE4">
        <w:tab/>
      </w:r>
      <w:r>
        <w:t>Gregory Smithsimon, ‘The Right to Public Space’ (</w:t>
      </w:r>
      <w:proofErr w:type="spellStart"/>
      <w:r>
        <w:rPr>
          <w:i/>
          <w:iCs/>
        </w:rPr>
        <w:t>metropolitics</w:t>
      </w:r>
      <w:proofErr w:type="spellEnd"/>
      <w:r>
        <w:t>, 10 March 2015) available at &lt;</w:t>
      </w:r>
      <w:hyperlink r:id="rId4" w:history="1">
        <w:r>
          <w:t>https://metropolitics.org/The-Right-to-Public-Space.htm</w:t>
        </w:r>
      </w:hyperlink>
      <w:r>
        <w:t>&gt;; Mike Devereux and David Littlefield, ‘A literature review on the privatisation of public space’ (University of the West of England, 2017) available at &lt;</w:t>
      </w:r>
      <w:hyperlink r:id="rId5" w:history="1">
        <w:r>
          <w:t>https://uwe-repository.worktribe.com/output/1433865/a-literature-review-on-the-privatisation-of-public-space</w:t>
        </w:r>
      </w:hyperlink>
      <w:r>
        <w:t xml:space="preserve">&gt;; Bradley Garrett, ‘The privatisation of cities' public spaces is escalating. It is time to take a stand’ </w:t>
      </w:r>
      <w:r>
        <w:rPr>
          <w:i/>
          <w:iCs/>
        </w:rPr>
        <w:t xml:space="preserve">The Guardian </w:t>
      </w:r>
      <w:r>
        <w:t>(4 August 2015) available at &lt;</w:t>
      </w:r>
      <w:hyperlink r:id="rId6" w:history="1">
        <w:r>
          <w:t>https://www.theguardian.com/cities/2015/aug/04/pops-privately-owned-public-space-cities-direct-action</w:t>
        </w:r>
      </w:hyperlink>
      <w:r>
        <w:t>&gt;.</w:t>
      </w:r>
    </w:p>
  </w:footnote>
  <w:footnote w:id="25">
    <w:p w14:paraId="4CE789A9" w14:textId="6280ACE4" w:rsidR="00A674C7" w:rsidRDefault="0067690B">
      <w:pPr>
        <w:pStyle w:val="Footnote"/>
        <w:rPr>
          <w:rFonts w:hint="eastAsia"/>
        </w:rPr>
      </w:pPr>
      <w:r>
        <w:rPr>
          <w:rStyle w:val="FootnoteReference"/>
        </w:rPr>
        <w:footnoteRef/>
      </w:r>
      <w:r w:rsidR="00CC0BE4">
        <w:tab/>
      </w:r>
      <w:r>
        <w:t>Appleby v United Kingdom 44306/98 [2003] ECHR 222 (6 May 2003). In relation to the USA see for example Alleen Brown, ‘Why it’s scary that the Mall of America can crush dissent’ (</w:t>
      </w:r>
      <w:r>
        <w:rPr>
          <w:i/>
          <w:iCs/>
        </w:rPr>
        <w:t>The Intercept</w:t>
      </w:r>
      <w:r>
        <w:t>, 6 January 2016) available at: &lt;</w:t>
      </w:r>
      <w:hyperlink r:id="rId7" w:history="1">
        <w:r>
          <w:t>https://theintercept.com/2016/01/06/why-its-scary-that-the-mall-of-america-can-crush-dissent/</w:t>
        </w:r>
      </w:hyperlink>
      <w:r>
        <w:t>&gt;.</w:t>
      </w:r>
    </w:p>
  </w:footnote>
  <w:footnote w:id="26">
    <w:p w14:paraId="6998ED36" w14:textId="76AFD22D" w:rsidR="00A674C7" w:rsidRDefault="0067690B">
      <w:pPr>
        <w:pStyle w:val="Footnote"/>
        <w:rPr>
          <w:rFonts w:hint="eastAsia"/>
        </w:rPr>
      </w:pPr>
      <w:r>
        <w:rPr>
          <w:rStyle w:val="FootnoteReference"/>
        </w:rPr>
        <w:footnoteRef/>
      </w:r>
      <w:r w:rsidR="00CC0BE4">
        <w:tab/>
      </w:r>
      <w:r>
        <w:t>Martin Gilens and Benjamin Page. ‘Testing Theories of American Politics: Elites, Interest Groups, and Average Citizens’ (2014) Perspectives on Politics Volume 12 564.</w:t>
      </w:r>
    </w:p>
  </w:footnote>
  <w:footnote w:id="27">
    <w:p w14:paraId="2AD12223" w14:textId="0D7E9EE7" w:rsidR="00A674C7" w:rsidRPr="00B52F47" w:rsidRDefault="0067690B">
      <w:pPr>
        <w:pStyle w:val="Footnote"/>
        <w:rPr>
          <w:rFonts w:hint="eastAsia"/>
        </w:rPr>
      </w:pPr>
      <w:r w:rsidRPr="00B52F47">
        <w:rPr>
          <w:rStyle w:val="FootnoteReference"/>
        </w:rPr>
        <w:footnoteRef/>
      </w:r>
      <w:r w:rsidR="00876A12" w:rsidRPr="00B52F47">
        <w:rPr>
          <w:rStyle w:val="Emphasis"/>
          <w:i w:val="0"/>
          <w:iCs w:val="0"/>
          <w:color w:val="000000"/>
        </w:rPr>
        <w:t xml:space="preserve"> </w:t>
      </w:r>
      <w:r w:rsidR="00876A12" w:rsidRPr="00B52F47">
        <w:rPr>
          <w:rStyle w:val="Emphasis"/>
          <w:i w:val="0"/>
          <w:iCs w:val="0"/>
          <w:color w:val="000000"/>
        </w:rPr>
        <w:tab/>
      </w:r>
      <w:r w:rsidRPr="00B52F47">
        <w:rPr>
          <w:rStyle w:val="Emphasis"/>
          <w:i w:val="0"/>
          <w:iCs w:val="0"/>
          <w:color w:val="000000"/>
        </w:rPr>
        <w:t>‘Trust issues: dealing with distrust in politics’</w:t>
      </w:r>
      <w:r w:rsidRPr="00B52F47">
        <w:rPr>
          <w:rStyle w:val="Emphasis"/>
          <w:color w:val="000000"/>
        </w:rPr>
        <w:t xml:space="preserve">, </w:t>
      </w:r>
      <w:r w:rsidRPr="00B52F47">
        <w:rPr>
          <w:rStyle w:val="Emphasis"/>
          <w:i w:val="0"/>
          <w:iCs w:val="0"/>
          <w:color w:val="000000"/>
        </w:rPr>
        <w:t>Institute for Public Policy Research (5</w:t>
      </w:r>
      <w:r w:rsidRPr="00B52F47">
        <w:rPr>
          <w:rStyle w:val="Emphasis"/>
          <w:i w:val="0"/>
          <w:iCs w:val="0"/>
          <w:color w:val="000000"/>
          <w:vertAlign w:val="superscript"/>
        </w:rPr>
        <w:t>th</w:t>
      </w:r>
      <w:r w:rsidRPr="00B52F47">
        <w:rPr>
          <w:rStyle w:val="Emphasis"/>
          <w:i w:val="0"/>
          <w:iCs w:val="0"/>
          <w:color w:val="000000"/>
        </w:rPr>
        <w:t xml:space="preserve"> December 2021) available at &lt;</w:t>
      </w:r>
      <w:hyperlink r:id="rId8" w:history="1">
        <w:r w:rsidRPr="00B52F47">
          <w:rPr>
            <w:rStyle w:val="Emphasis"/>
            <w:i w:val="0"/>
            <w:iCs w:val="0"/>
          </w:rPr>
          <w:t>https://www.ippr.org/research/publications/trust-issues</w:t>
        </w:r>
      </w:hyperlink>
      <w:r w:rsidRPr="00B52F47">
        <w:rPr>
          <w:rStyle w:val="Emphasis"/>
          <w:i w:val="0"/>
          <w:iCs w:val="0"/>
          <w:color w:val="000000"/>
        </w:rPr>
        <w:t>&gt;.</w:t>
      </w:r>
    </w:p>
  </w:footnote>
  <w:footnote w:id="28">
    <w:p w14:paraId="6FA42979" w14:textId="34A87DA0" w:rsidR="006E5B76" w:rsidRDefault="006E5B76">
      <w:pPr>
        <w:pStyle w:val="FootnoteText"/>
        <w:rPr>
          <w:rFonts w:hint="eastAsia"/>
        </w:rPr>
      </w:pPr>
      <w:r>
        <w:rPr>
          <w:rStyle w:val="FootnoteReference"/>
          <w:rFonts w:hint="eastAsia"/>
        </w:rPr>
        <w:footnoteRef/>
      </w:r>
      <w:r w:rsidR="00D7454B">
        <w:tab/>
      </w:r>
      <w:r w:rsidR="00D7454B" w:rsidRPr="00D7454B">
        <w:t>International Covenant on Economic, Social and Cultural Rights</w:t>
      </w:r>
      <w:r w:rsidR="00D7454B">
        <w:t xml:space="preserve">, Article 11; </w:t>
      </w:r>
      <w:r>
        <w:t>Constitution of the Republic of S</w:t>
      </w:r>
      <w:r>
        <w:rPr>
          <w:rFonts w:hint="eastAsia"/>
        </w:rPr>
        <w:t>o</w:t>
      </w:r>
      <w:r>
        <w:t xml:space="preserve">uth Africa 1996, Article 27 (1) (c). </w:t>
      </w:r>
    </w:p>
  </w:footnote>
  <w:footnote w:id="29">
    <w:p w14:paraId="0416D904" w14:textId="108F9C66" w:rsidR="00997D30" w:rsidRDefault="00997D30">
      <w:pPr>
        <w:pStyle w:val="FootnoteText"/>
        <w:rPr>
          <w:rFonts w:hint="eastAsia"/>
        </w:rPr>
      </w:pPr>
      <w:r>
        <w:rPr>
          <w:rStyle w:val="FootnoteReference"/>
          <w:rFonts w:hint="eastAsia"/>
        </w:rPr>
        <w:footnoteRef/>
      </w:r>
      <w:r>
        <w:rPr>
          <w:rFonts w:hint="eastAsia"/>
        </w:rPr>
        <w:t xml:space="preserve"> </w:t>
      </w:r>
      <w:r>
        <w:tab/>
      </w:r>
      <w:r w:rsidR="00E402E2" w:rsidRPr="00D7454B">
        <w:t>International Covenant on Economic, Social and Cultural Rights</w:t>
      </w:r>
      <w:r w:rsidR="00E402E2">
        <w:t xml:space="preserve">, Article 7; </w:t>
      </w:r>
      <w:r w:rsidR="00E65248">
        <w:t>European Social Charter, Article 4</w:t>
      </w:r>
      <w:r w:rsidR="00E770CF">
        <w:t>; Constitution of the International Labour Organizatio</w:t>
      </w:r>
      <w:r w:rsidR="00E770CF">
        <w:rPr>
          <w:rFonts w:hint="eastAsia"/>
        </w:rPr>
        <w:t>n</w:t>
      </w:r>
      <w:r w:rsidR="00E770CF">
        <w:t>, Preamble.</w:t>
      </w:r>
    </w:p>
  </w:footnote>
  <w:footnote w:id="30">
    <w:p w14:paraId="11122314" w14:textId="31D704E4" w:rsidR="00E908C0" w:rsidRPr="008E18C2" w:rsidRDefault="00E908C0">
      <w:pPr>
        <w:pStyle w:val="FootnoteText"/>
        <w:rPr>
          <w:rFonts w:hint="eastAsia"/>
        </w:rPr>
      </w:pPr>
      <w:r>
        <w:rPr>
          <w:rStyle w:val="FootnoteReference"/>
          <w:rFonts w:hint="eastAsia"/>
        </w:rPr>
        <w:footnoteRef/>
      </w:r>
      <w:r>
        <w:rPr>
          <w:rFonts w:hint="eastAsia"/>
        </w:rPr>
        <w:t xml:space="preserve"> </w:t>
      </w:r>
      <w:r>
        <w:tab/>
      </w:r>
      <w:r w:rsidR="00831677" w:rsidRPr="00D7454B">
        <w:t>International C</w:t>
      </w:r>
      <w:r w:rsidR="00831677" w:rsidRPr="008E18C2">
        <w:t>ovenant on Economic, Social and Cultural Rights, Article 9;</w:t>
      </w:r>
      <w:r w:rsidR="00445E93" w:rsidRPr="008E18C2">
        <w:t xml:space="preserve"> European Social Charter, Article 12;</w:t>
      </w:r>
      <w:r w:rsidR="00831677" w:rsidRPr="008E18C2">
        <w:t xml:space="preserve"> </w:t>
      </w:r>
      <w:r w:rsidRPr="008E18C2">
        <w:t>Constitution of the Republic of S</w:t>
      </w:r>
      <w:r w:rsidRPr="008E18C2">
        <w:rPr>
          <w:rFonts w:hint="eastAsia"/>
        </w:rPr>
        <w:t>o</w:t>
      </w:r>
      <w:r w:rsidRPr="008E18C2">
        <w:t xml:space="preserve">uth Africa 1996, Article 26. </w:t>
      </w:r>
    </w:p>
  </w:footnote>
  <w:footnote w:id="31">
    <w:p w14:paraId="4F8BC733" w14:textId="4713BD16" w:rsidR="00837294" w:rsidRPr="008E18C2" w:rsidRDefault="00837294">
      <w:pPr>
        <w:pStyle w:val="FootnoteText"/>
        <w:rPr>
          <w:rFonts w:hint="eastAsia"/>
        </w:rPr>
      </w:pPr>
      <w:r w:rsidRPr="008E18C2">
        <w:rPr>
          <w:rStyle w:val="FootnoteReference"/>
          <w:rFonts w:hint="eastAsia"/>
        </w:rPr>
        <w:footnoteRef/>
      </w:r>
      <w:r w:rsidRPr="008E18C2">
        <w:rPr>
          <w:rFonts w:hint="eastAsia"/>
        </w:rPr>
        <w:t xml:space="preserve"> </w:t>
      </w:r>
      <w:r w:rsidRPr="008E18C2">
        <w:t xml:space="preserve"> </w:t>
      </w:r>
      <w:r w:rsidRPr="008E18C2">
        <w:tab/>
      </w:r>
      <w:r w:rsidR="006E238A" w:rsidRPr="008E18C2">
        <w:t xml:space="preserve">Tom Malleson, </w:t>
      </w:r>
      <w:r w:rsidR="006E238A" w:rsidRPr="008E18C2">
        <w:rPr>
          <w:i/>
          <w:iCs/>
        </w:rPr>
        <w:t xml:space="preserve">After Occupy: </w:t>
      </w:r>
      <w:r w:rsidR="006E238A" w:rsidRPr="006E238A">
        <w:rPr>
          <w:i/>
          <w:iCs/>
        </w:rPr>
        <w:t>Economic Democracy for the 21st Century</w:t>
      </w:r>
      <w:r w:rsidR="006E238A" w:rsidRPr="008E18C2">
        <w:t xml:space="preserve"> (Oxford University Press 2014); </w:t>
      </w:r>
      <w:r w:rsidRPr="008E18C2">
        <w:t xml:space="preserve">Richard Wolff, </w:t>
      </w:r>
      <w:r w:rsidRPr="008E18C2">
        <w:rPr>
          <w:i/>
          <w:iCs/>
        </w:rPr>
        <w:t>Democracy at Work: A Cure for Capitalism</w:t>
      </w:r>
      <w:r w:rsidRPr="008E18C2">
        <w:t xml:space="preserve"> (Haymarket Books 2012).</w:t>
      </w:r>
    </w:p>
  </w:footnote>
  <w:footnote w:id="32">
    <w:p w14:paraId="737B2E64" w14:textId="1F2CA0AF" w:rsidR="00004DE2" w:rsidRPr="00004DE2" w:rsidRDefault="00004DE2">
      <w:pPr>
        <w:pStyle w:val="FootnoteText"/>
        <w:rPr>
          <w:rFonts w:hint="eastAsia"/>
          <w:szCs w:val="20"/>
        </w:rPr>
      </w:pPr>
      <w:r w:rsidRPr="008E18C2">
        <w:rPr>
          <w:rStyle w:val="FootnoteReference"/>
          <w:rFonts w:hint="eastAsia"/>
          <w:szCs w:val="20"/>
        </w:rPr>
        <w:footnoteRef/>
      </w:r>
      <w:r w:rsidRPr="008E18C2">
        <w:rPr>
          <w:rFonts w:hint="eastAsia"/>
          <w:szCs w:val="20"/>
        </w:rPr>
        <w:t xml:space="preserve"> </w:t>
      </w:r>
      <w:r w:rsidRPr="008E18C2">
        <w:rPr>
          <w:szCs w:val="20"/>
        </w:rPr>
        <w:tab/>
        <w:t xml:space="preserve">Henri Lefebvre, </w:t>
      </w:r>
      <w:r w:rsidRPr="008E18C2">
        <w:rPr>
          <w:i/>
          <w:iCs/>
          <w:szCs w:val="20"/>
        </w:rPr>
        <w:t xml:space="preserve">Le droit `a la </w:t>
      </w:r>
      <w:proofErr w:type="spellStart"/>
      <w:r w:rsidRPr="008E18C2">
        <w:rPr>
          <w:i/>
          <w:iCs/>
          <w:szCs w:val="20"/>
        </w:rPr>
        <w:t>ville</w:t>
      </w:r>
      <w:proofErr w:type="spellEnd"/>
      <w:r w:rsidRPr="008E18C2">
        <w:rPr>
          <w:szCs w:val="20"/>
        </w:rPr>
        <w:t xml:space="preserve"> (Paris, Anthropos 1968);</w:t>
      </w:r>
      <w:r w:rsidR="00F237EA">
        <w:rPr>
          <w:szCs w:val="20"/>
        </w:rPr>
        <w:t xml:space="preserve"> David Harvey, ‘The Right to the City’ (2003) </w:t>
      </w:r>
      <w:r w:rsidR="00F237EA">
        <w:t>I</w:t>
      </w:r>
      <w:r w:rsidR="00F237EA" w:rsidRPr="00F237EA">
        <w:rPr>
          <w:rFonts w:hint="eastAsia"/>
          <w:szCs w:val="20"/>
        </w:rPr>
        <w:t xml:space="preserve">nternational </w:t>
      </w:r>
      <w:r w:rsidR="00F237EA">
        <w:rPr>
          <w:szCs w:val="20"/>
        </w:rPr>
        <w:t>J</w:t>
      </w:r>
      <w:r w:rsidR="00F237EA" w:rsidRPr="00F237EA">
        <w:rPr>
          <w:rFonts w:hint="eastAsia"/>
          <w:szCs w:val="20"/>
        </w:rPr>
        <w:t xml:space="preserve">ournal of </w:t>
      </w:r>
      <w:r w:rsidR="00F237EA">
        <w:rPr>
          <w:szCs w:val="20"/>
        </w:rPr>
        <w:t>U</w:t>
      </w:r>
      <w:r w:rsidR="00F237EA" w:rsidRPr="00F237EA">
        <w:rPr>
          <w:rFonts w:hint="eastAsia"/>
          <w:szCs w:val="20"/>
        </w:rPr>
        <w:t xml:space="preserve">rban and </w:t>
      </w:r>
      <w:r w:rsidR="00F237EA">
        <w:rPr>
          <w:szCs w:val="20"/>
        </w:rPr>
        <w:t>R</w:t>
      </w:r>
      <w:r w:rsidR="00F237EA" w:rsidRPr="00F237EA">
        <w:rPr>
          <w:rFonts w:hint="eastAsia"/>
          <w:szCs w:val="20"/>
        </w:rPr>
        <w:t xml:space="preserve">egional </w:t>
      </w:r>
      <w:r w:rsidR="00F237EA">
        <w:rPr>
          <w:szCs w:val="20"/>
        </w:rPr>
        <w:t>R</w:t>
      </w:r>
      <w:r w:rsidR="00F237EA" w:rsidRPr="00F237EA">
        <w:rPr>
          <w:rFonts w:hint="eastAsia"/>
          <w:szCs w:val="20"/>
        </w:rPr>
        <w:t>esearch</w:t>
      </w:r>
      <w:r w:rsidR="00F237EA" w:rsidRPr="008E18C2">
        <w:rPr>
          <w:szCs w:val="20"/>
        </w:rPr>
        <w:t xml:space="preserve"> </w:t>
      </w:r>
      <w:r w:rsidR="00F237EA">
        <w:rPr>
          <w:szCs w:val="20"/>
        </w:rPr>
        <w:t>Volume 27 939;</w:t>
      </w:r>
      <w:r w:rsidR="00F237EA" w:rsidRPr="00F237EA">
        <w:rPr>
          <w:rFonts w:hint="eastAsia"/>
        </w:rPr>
        <w:t xml:space="preserve"> </w:t>
      </w:r>
      <w:r w:rsidRPr="008E18C2">
        <w:rPr>
          <w:szCs w:val="20"/>
        </w:rPr>
        <w:t>Mark Purcell, ‘Possible Worlds: Henri Lefebvre and the Right to the City’ (2013) Journal of Urban Affairs Vol 36 141</w:t>
      </w:r>
      <w:r w:rsidR="00F237EA">
        <w:rPr>
          <w:szCs w:val="20"/>
        </w:rPr>
        <w:t>.</w:t>
      </w:r>
    </w:p>
  </w:footnote>
  <w:footnote w:id="33">
    <w:p w14:paraId="35FA95A6" w14:textId="35B51435" w:rsidR="0061711D" w:rsidRPr="0061711D" w:rsidRDefault="0061711D">
      <w:pPr>
        <w:pStyle w:val="FootnoteText"/>
        <w:rPr>
          <w:rFonts w:hint="eastAsia"/>
        </w:rPr>
      </w:pPr>
      <w:r>
        <w:rPr>
          <w:rStyle w:val="FootnoteReference"/>
          <w:rFonts w:hint="eastAsia"/>
        </w:rPr>
        <w:footnoteRef/>
      </w:r>
      <w:r>
        <w:rPr>
          <w:rFonts w:hint="eastAsia"/>
        </w:rPr>
        <w:t xml:space="preserve"> </w:t>
      </w:r>
      <w:r>
        <w:tab/>
      </w:r>
      <w:r w:rsidRPr="0061711D">
        <w:t xml:space="preserve">Cormac Cullinan, </w:t>
      </w:r>
      <w:r w:rsidRPr="0061711D">
        <w:rPr>
          <w:i/>
          <w:iCs/>
        </w:rPr>
        <w:t xml:space="preserve">Wild Law: A Manifesto for Earth Justice </w:t>
      </w:r>
      <w:r w:rsidRPr="0061711D">
        <w:t>(2</w:t>
      </w:r>
      <w:r w:rsidRPr="0061711D">
        <w:rPr>
          <w:vertAlign w:val="superscript"/>
        </w:rPr>
        <w:t>nd</w:t>
      </w:r>
      <w:r w:rsidRPr="0061711D">
        <w:t xml:space="preserve"> edn, Green Books, 2011)</w:t>
      </w:r>
      <w:r>
        <w:t xml:space="preserve">; </w:t>
      </w:r>
      <w:r w:rsidRPr="0061711D">
        <w:t xml:space="preserve">Vandana Shiva, </w:t>
      </w:r>
      <w:r w:rsidRPr="0061711D">
        <w:rPr>
          <w:i/>
          <w:iCs/>
        </w:rPr>
        <w:t xml:space="preserve">Earth Democracy </w:t>
      </w:r>
      <w:r w:rsidRPr="0061711D">
        <w:t>(Zed Books, 2016)</w:t>
      </w:r>
      <w:r>
        <w:t xml:space="preserve">; </w:t>
      </w:r>
      <w:r w:rsidRPr="0061711D">
        <w:rPr>
          <w:rFonts w:hint="eastAsia"/>
        </w:rPr>
        <w:t>J</w:t>
      </w:r>
      <w:r>
        <w:rPr>
          <w:rFonts w:hint="eastAsia"/>
        </w:rPr>
        <w:t>e</w:t>
      </w:r>
      <w:r>
        <w:t>re</w:t>
      </w:r>
      <w:r w:rsidRPr="0061711D">
        <w:rPr>
          <w:rFonts w:hint="eastAsia"/>
        </w:rPr>
        <w:t>mie</w:t>
      </w:r>
      <w:r w:rsidRPr="0061711D">
        <w:t xml:space="preserve"> </w:t>
      </w:r>
      <w:r>
        <w:t xml:space="preserve">Gilbert, </w:t>
      </w:r>
      <w:r w:rsidRPr="0061711D">
        <w:t>‘The future of the Rights of Nature: an interdisciplinary scoping analysis</w:t>
      </w:r>
      <w:r>
        <w:t>’ (2022) Arts and Humanity Research Council.</w:t>
      </w:r>
    </w:p>
  </w:footnote>
  <w:footnote w:id="34">
    <w:p w14:paraId="7A9F39F9" w14:textId="77777777" w:rsidR="00126D37" w:rsidRDefault="00126D37" w:rsidP="00126D37">
      <w:pPr>
        <w:rPr>
          <w:rFonts w:hint="eastAsia"/>
        </w:rPr>
      </w:pPr>
      <w:r>
        <w:rPr>
          <w:rStyle w:val="FootnoteReference"/>
          <w:rFonts w:hint="eastAsia"/>
        </w:rPr>
        <w:footnoteRef/>
      </w:r>
      <w:r>
        <w:t xml:space="preserve">Juno Mac and Molly Smith, </w:t>
      </w:r>
      <w:r>
        <w:rPr>
          <w:i/>
          <w:iCs/>
        </w:rPr>
        <w:t>Revolting Prostitutes: The Fight for Sex Workers’ Rights</w:t>
      </w:r>
      <w:r>
        <w:t xml:space="preserve"> (Verso 2018).</w:t>
      </w:r>
    </w:p>
    <w:p w14:paraId="497FF122" w14:textId="77777777" w:rsidR="00126D37" w:rsidRDefault="00126D37" w:rsidP="00126D37">
      <w:pPr>
        <w:rPr>
          <w:rFonts w:hint="eastAsia"/>
        </w:rPr>
      </w:pPr>
    </w:p>
  </w:footnote>
  <w:footnote w:id="35">
    <w:p w14:paraId="4C527081" w14:textId="77777777" w:rsidR="00126D37" w:rsidRDefault="00126D37" w:rsidP="00126D37">
      <w:pPr>
        <w:rPr>
          <w:rFonts w:hint="eastAsia"/>
        </w:rPr>
      </w:pPr>
      <w:r>
        <w:rPr>
          <w:rStyle w:val="FootnoteReference"/>
          <w:rFonts w:hint="eastAsia"/>
        </w:rPr>
        <w:footnoteRef/>
      </w:r>
      <w:r>
        <w:t xml:space="preserve">Joseph Raz, ‘The Rule of Law and its Virtue’ in </w:t>
      </w:r>
      <w:r>
        <w:rPr>
          <w:i/>
          <w:iCs/>
        </w:rPr>
        <w:t>The Authority of Law</w:t>
      </w:r>
      <w:r>
        <w:t xml:space="preserve"> (2</w:t>
      </w:r>
      <w:r>
        <w:rPr>
          <w:vertAlign w:val="superscript"/>
        </w:rPr>
        <w:t>nd</w:t>
      </w:r>
      <w:r>
        <w:t xml:space="preserve"> edn, Oxford University Press 2009.</w:t>
      </w:r>
    </w:p>
    <w:p w14:paraId="11B2E5D3" w14:textId="77777777" w:rsidR="00126D37" w:rsidRDefault="00126D37" w:rsidP="00126D37">
      <w:pPr>
        <w:rPr>
          <w:rFonts w:hint="eastAsia"/>
        </w:rPr>
      </w:pPr>
    </w:p>
  </w:footnote>
  <w:footnote w:id="36">
    <w:p w14:paraId="172784C8" w14:textId="77777777" w:rsidR="00126D37" w:rsidRDefault="00126D37" w:rsidP="00126D37">
      <w:pPr>
        <w:rPr>
          <w:rFonts w:hint="eastAsia"/>
        </w:rPr>
      </w:pPr>
      <w:r>
        <w:rPr>
          <w:rStyle w:val="FootnoteReference"/>
          <w:rFonts w:hint="eastAsia"/>
        </w:rPr>
        <w:footnoteRef/>
      </w:r>
      <w:r>
        <w:t xml:space="preserve">For example, Tom Bingham, </w:t>
      </w:r>
      <w:r>
        <w:rPr>
          <w:i/>
          <w:iCs/>
        </w:rPr>
        <w:t>The Rule of Law</w:t>
      </w:r>
      <w:r>
        <w:t xml:space="preserve"> (Penguin 2011).</w:t>
      </w:r>
    </w:p>
    <w:p w14:paraId="621D97D0" w14:textId="77777777" w:rsidR="00126D37" w:rsidRDefault="00126D37" w:rsidP="00126D37">
      <w:pPr>
        <w:rPr>
          <w:rFonts w:hint="eastAsia"/>
        </w:rPr>
      </w:pPr>
    </w:p>
  </w:footnote>
  <w:footnote w:id="37">
    <w:p w14:paraId="2455F861" w14:textId="77777777" w:rsidR="00126D37" w:rsidRDefault="00126D37" w:rsidP="00126D37">
      <w:pPr>
        <w:rPr>
          <w:rFonts w:hint="eastAsia"/>
        </w:rPr>
      </w:pPr>
      <w:r>
        <w:rPr>
          <w:rStyle w:val="FootnoteReference"/>
          <w:rFonts w:hint="eastAsia"/>
        </w:rPr>
        <w:footnoteRef/>
      </w:r>
      <w:r>
        <w:t xml:space="preserve">David Tucker, </w:t>
      </w:r>
      <w:r>
        <w:rPr>
          <w:i/>
          <w:iCs/>
        </w:rPr>
        <w:t xml:space="preserve">Essay on Liberalism </w:t>
      </w:r>
      <w:r>
        <w:t xml:space="preserve">(Springer Dordrecht 1994) 91; Friedrich Hayek, </w:t>
      </w:r>
      <w:r>
        <w:rPr>
          <w:i/>
          <w:iCs/>
        </w:rPr>
        <w:t xml:space="preserve">The Road to Serfdom </w:t>
      </w:r>
      <w:r>
        <w:t xml:space="preserve">(Routledge Press 1944); Milton Friedman </w:t>
      </w:r>
      <w:r>
        <w:rPr>
          <w:i/>
          <w:iCs/>
        </w:rPr>
        <w:t xml:space="preserve">Capitalism and Freedom </w:t>
      </w:r>
      <w:r>
        <w:t xml:space="preserve">(University of Chicago Press 1962); Robert Hollinger, </w:t>
      </w:r>
      <w:r>
        <w:rPr>
          <w:i/>
          <w:iCs/>
        </w:rPr>
        <w:t>The Dark Side of Liberalism: Elitism vs. Democracy</w:t>
      </w:r>
      <w:r>
        <w:t xml:space="preserve"> (Praeger 1996); Brian Tamanaha, </w:t>
      </w:r>
      <w:r>
        <w:rPr>
          <w:i/>
          <w:iCs/>
        </w:rPr>
        <w:t xml:space="preserve">On the Rule of Law: History, Politics, Theory </w:t>
      </w:r>
      <w:r>
        <w:t>(Cambridge University Press 2004); Brian Tamanaha, ‘The Dark Side of the Relationship between the Rule of Law and Liberalism’ (2008) NYU Journal of Law &amp; Liberty 516.</w:t>
      </w:r>
    </w:p>
    <w:p w14:paraId="112677B5" w14:textId="77777777" w:rsidR="00126D37" w:rsidRDefault="00126D37" w:rsidP="00126D37">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71EE1"/>
    <w:multiLevelType w:val="multilevel"/>
    <w:tmpl w:val="C1B6DB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668246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5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C7"/>
    <w:rsid w:val="00000322"/>
    <w:rsid w:val="00003E49"/>
    <w:rsid w:val="00004D02"/>
    <w:rsid w:val="00004DE2"/>
    <w:rsid w:val="00005552"/>
    <w:rsid w:val="00006D27"/>
    <w:rsid w:val="00012EC4"/>
    <w:rsid w:val="00015BD9"/>
    <w:rsid w:val="000211E9"/>
    <w:rsid w:val="000250CB"/>
    <w:rsid w:val="000251E3"/>
    <w:rsid w:val="00031189"/>
    <w:rsid w:val="000404C8"/>
    <w:rsid w:val="00041864"/>
    <w:rsid w:val="00044FCF"/>
    <w:rsid w:val="00051D93"/>
    <w:rsid w:val="00056969"/>
    <w:rsid w:val="00056F6A"/>
    <w:rsid w:val="0006282B"/>
    <w:rsid w:val="00071D33"/>
    <w:rsid w:val="000755E3"/>
    <w:rsid w:val="00076B43"/>
    <w:rsid w:val="00081D55"/>
    <w:rsid w:val="00096644"/>
    <w:rsid w:val="000A1AF3"/>
    <w:rsid w:val="000A5D14"/>
    <w:rsid w:val="000B1386"/>
    <w:rsid w:val="000B604A"/>
    <w:rsid w:val="000B6548"/>
    <w:rsid w:val="000B7637"/>
    <w:rsid w:val="000C55A3"/>
    <w:rsid w:val="000D3833"/>
    <w:rsid w:val="000D4F6A"/>
    <w:rsid w:val="000D609D"/>
    <w:rsid w:val="000E3ADA"/>
    <w:rsid w:val="0010100F"/>
    <w:rsid w:val="00104225"/>
    <w:rsid w:val="00114825"/>
    <w:rsid w:val="00126D37"/>
    <w:rsid w:val="001307CC"/>
    <w:rsid w:val="00134652"/>
    <w:rsid w:val="00135C57"/>
    <w:rsid w:val="0014006D"/>
    <w:rsid w:val="001413C4"/>
    <w:rsid w:val="0014523A"/>
    <w:rsid w:val="00150156"/>
    <w:rsid w:val="00160970"/>
    <w:rsid w:val="0016099D"/>
    <w:rsid w:val="00174216"/>
    <w:rsid w:val="00175378"/>
    <w:rsid w:val="001820DD"/>
    <w:rsid w:val="0018216A"/>
    <w:rsid w:val="00184455"/>
    <w:rsid w:val="00190D7C"/>
    <w:rsid w:val="00191768"/>
    <w:rsid w:val="00195F95"/>
    <w:rsid w:val="001A3F1E"/>
    <w:rsid w:val="001B40F8"/>
    <w:rsid w:val="001B7D35"/>
    <w:rsid w:val="001C3C6B"/>
    <w:rsid w:val="001D75F4"/>
    <w:rsid w:val="001E0A92"/>
    <w:rsid w:val="001E4FAB"/>
    <w:rsid w:val="001E56F5"/>
    <w:rsid w:val="001E5C95"/>
    <w:rsid w:val="001E6553"/>
    <w:rsid w:val="001F20F7"/>
    <w:rsid w:val="001F6521"/>
    <w:rsid w:val="00201366"/>
    <w:rsid w:val="0020415C"/>
    <w:rsid w:val="002106D1"/>
    <w:rsid w:val="00216E2C"/>
    <w:rsid w:val="002209F6"/>
    <w:rsid w:val="00222C45"/>
    <w:rsid w:val="002316BB"/>
    <w:rsid w:val="002321D0"/>
    <w:rsid w:val="0023310B"/>
    <w:rsid w:val="002434DA"/>
    <w:rsid w:val="0024527F"/>
    <w:rsid w:val="00246335"/>
    <w:rsid w:val="002471D6"/>
    <w:rsid w:val="00256FFE"/>
    <w:rsid w:val="0026044E"/>
    <w:rsid w:val="00261A66"/>
    <w:rsid w:val="002635D3"/>
    <w:rsid w:val="002653A3"/>
    <w:rsid w:val="002734D4"/>
    <w:rsid w:val="00274BF9"/>
    <w:rsid w:val="00275C16"/>
    <w:rsid w:val="0027725E"/>
    <w:rsid w:val="002777FF"/>
    <w:rsid w:val="0028277A"/>
    <w:rsid w:val="0028280C"/>
    <w:rsid w:val="002853C0"/>
    <w:rsid w:val="002920B4"/>
    <w:rsid w:val="00295696"/>
    <w:rsid w:val="002A0872"/>
    <w:rsid w:val="002B0335"/>
    <w:rsid w:val="002B3528"/>
    <w:rsid w:val="002B46A5"/>
    <w:rsid w:val="002B4B92"/>
    <w:rsid w:val="002B6289"/>
    <w:rsid w:val="002B7B31"/>
    <w:rsid w:val="002C1B82"/>
    <w:rsid w:val="002C7B64"/>
    <w:rsid w:val="002D25ED"/>
    <w:rsid w:val="002D3730"/>
    <w:rsid w:val="002D5ED9"/>
    <w:rsid w:val="002D75A1"/>
    <w:rsid w:val="002E0805"/>
    <w:rsid w:val="002E2B5B"/>
    <w:rsid w:val="002E5B4F"/>
    <w:rsid w:val="002E6B29"/>
    <w:rsid w:val="002F4ACF"/>
    <w:rsid w:val="0030368D"/>
    <w:rsid w:val="00311BB9"/>
    <w:rsid w:val="00313006"/>
    <w:rsid w:val="003149E9"/>
    <w:rsid w:val="003154C2"/>
    <w:rsid w:val="003179C3"/>
    <w:rsid w:val="00322931"/>
    <w:rsid w:val="00323420"/>
    <w:rsid w:val="0033132A"/>
    <w:rsid w:val="0033462E"/>
    <w:rsid w:val="00334786"/>
    <w:rsid w:val="00334ECE"/>
    <w:rsid w:val="00337ADC"/>
    <w:rsid w:val="00342EF4"/>
    <w:rsid w:val="00344CEA"/>
    <w:rsid w:val="0034786B"/>
    <w:rsid w:val="0034795D"/>
    <w:rsid w:val="00347DFB"/>
    <w:rsid w:val="00353628"/>
    <w:rsid w:val="003578AD"/>
    <w:rsid w:val="00365177"/>
    <w:rsid w:val="0036601D"/>
    <w:rsid w:val="00370641"/>
    <w:rsid w:val="003718F5"/>
    <w:rsid w:val="0037624C"/>
    <w:rsid w:val="00383A4D"/>
    <w:rsid w:val="0038732C"/>
    <w:rsid w:val="003A3761"/>
    <w:rsid w:val="003A5E3F"/>
    <w:rsid w:val="003C2AEA"/>
    <w:rsid w:val="003C2C93"/>
    <w:rsid w:val="003C6318"/>
    <w:rsid w:val="003C739E"/>
    <w:rsid w:val="003C7726"/>
    <w:rsid w:val="003D2DFC"/>
    <w:rsid w:val="003D3164"/>
    <w:rsid w:val="003D3611"/>
    <w:rsid w:val="003D583A"/>
    <w:rsid w:val="003E2B8F"/>
    <w:rsid w:val="003E5ADC"/>
    <w:rsid w:val="003F0064"/>
    <w:rsid w:val="004036D9"/>
    <w:rsid w:val="00405215"/>
    <w:rsid w:val="004124E5"/>
    <w:rsid w:val="00413C26"/>
    <w:rsid w:val="00414559"/>
    <w:rsid w:val="00414828"/>
    <w:rsid w:val="004163A5"/>
    <w:rsid w:val="00422BB7"/>
    <w:rsid w:val="0044548D"/>
    <w:rsid w:val="00445E93"/>
    <w:rsid w:val="004466D3"/>
    <w:rsid w:val="00447D35"/>
    <w:rsid w:val="00451F90"/>
    <w:rsid w:val="00456FD4"/>
    <w:rsid w:val="00466329"/>
    <w:rsid w:val="0047319F"/>
    <w:rsid w:val="004741A5"/>
    <w:rsid w:val="00482612"/>
    <w:rsid w:val="00487B7E"/>
    <w:rsid w:val="0049455C"/>
    <w:rsid w:val="00496B14"/>
    <w:rsid w:val="004A0B11"/>
    <w:rsid w:val="004B1744"/>
    <w:rsid w:val="004B65C3"/>
    <w:rsid w:val="004B702E"/>
    <w:rsid w:val="004C4535"/>
    <w:rsid w:val="004C5758"/>
    <w:rsid w:val="004D2FBE"/>
    <w:rsid w:val="004E08A9"/>
    <w:rsid w:val="004E381E"/>
    <w:rsid w:val="004F244D"/>
    <w:rsid w:val="004F622C"/>
    <w:rsid w:val="005076B2"/>
    <w:rsid w:val="00507EE7"/>
    <w:rsid w:val="005135B4"/>
    <w:rsid w:val="00514DD1"/>
    <w:rsid w:val="00515CC8"/>
    <w:rsid w:val="00516D89"/>
    <w:rsid w:val="00522D3A"/>
    <w:rsid w:val="00527500"/>
    <w:rsid w:val="005305B1"/>
    <w:rsid w:val="00532AE8"/>
    <w:rsid w:val="00536CF0"/>
    <w:rsid w:val="00541EE2"/>
    <w:rsid w:val="00543800"/>
    <w:rsid w:val="00546C35"/>
    <w:rsid w:val="00547151"/>
    <w:rsid w:val="00552051"/>
    <w:rsid w:val="005539A7"/>
    <w:rsid w:val="005576A5"/>
    <w:rsid w:val="00560DCD"/>
    <w:rsid w:val="00566A0B"/>
    <w:rsid w:val="005729E2"/>
    <w:rsid w:val="00577D53"/>
    <w:rsid w:val="00582CB1"/>
    <w:rsid w:val="00585937"/>
    <w:rsid w:val="00587EE4"/>
    <w:rsid w:val="00591138"/>
    <w:rsid w:val="00591D2E"/>
    <w:rsid w:val="00594CD5"/>
    <w:rsid w:val="00595D22"/>
    <w:rsid w:val="005A5193"/>
    <w:rsid w:val="005A5568"/>
    <w:rsid w:val="005C34E7"/>
    <w:rsid w:val="005C567C"/>
    <w:rsid w:val="005C5EE5"/>
    <w:rsid w:val="005D45EB"/>
    <w:rsid w:val="005D4F49"/>
    <w:rsid w:val="005E0660"/>
    <w:rsid w:val="005E5709"/>
    <w:rsid w:val="005E5A2A"/>
    <w:rsid w:val="005F4D71"/>
    <w:rsid w:val="005F4F59"/>
    <w:rsid w:val="00603A02"/>
    <w:rsid w:val="00604D67"/>
    <w:rsid w:val="00605875"/>
    <w:rsid w:val="0060740F"/>
    <w:rsid w:val="00611F22"/>
    <w:rsid w:val="0061627F"/>
    <w:rsid w:val="00616414"/>
    <w:rsid w:val="0061711D"/>
    <w:rsid w:val="00627462"/>
    <w:rsid w:val="00645A1F"/>
    <w:rsid w:val="006470BE"/>
    <w:rsid w:val="00662751"/>
    <w:rsid w:val="0067643A"/>
    <w:rsid w:val="0067690B"/>
    <w:rsid w:val="00695BAD"/>
    <w:rsid w:val="006A2221"/>
    <w:rsid w:val="006C2590"/>
    <w:rsid w:val="006C2966"/>
    <w:rsid w:val="006C7FC1"/>
    <w:rsid w:val="006D0C0E"/>
    <w:rsid w:val="006D317F"/>
    <w:rsid w:val="006E1103"/>
    <w:rsid w:val="006E238A"/>
    <w:rsid w:val="006E5B76"/>
    <w:rsid w:val="006F2EEB"/>
    <w:rsid w:val="006F475D"/>
    <w:rsid w:val="00701B8A"/>
    <w:rsid w:val="00711045"/>
    <w:rsid w:val="00711207"/>
    <w:rsid w:val="0071247E"/>
    <w:rsid w:val="00717579"/>
    <w:rsid w:val="00721F7D"/>
    <w:rsid w:val="007246A1"/>
    <w:rsid w:val="00727E4A"/>
    <w:rsid w:val="00730529"/>
    <w:rsid w:val="00734E3B"/>
    <w:rsid w:val="0073621B"/>
    <w:rsid w:val="007443CE"/>
    <w:rsid w:val="00753C57"/>
    <w:rsid w:val="00760D7B"/>
    <w:rsid w:val="00770A54"/>
    <w:rsid w:val="00791CD7"/>
    <w:rsid w:val="007950B6"/>
    <w:rsid w:val="00795C00"/>
    <w:rsid w:val="007A44AD"/>
    <w:rsid w:val="007A7951"/>
    <w:rsid w:val="007B1C18"/>
    <w:rsid w:val="007B1EB4"/>
    <w:rsid w:val="007B583E"/>
    <w:rsid w:val="007C295D"/>
    <w:rsid w:val="007C4D01"/>
    <w:rsid w:val="007C6815"/>
    <w:rsid w:val="007D2C1C"/>
    <w:rsid w:val="007D4C70"/>
    <w:rsid w:val="007D6DC7"/>
    <w:rsid w:val="007E148A"/>
    <w:rsid w:val="007E75F4"/>
    <w:rsid w:val="007F1137"/>
    <w:rsid w:val="007F250A"/>
    <w:rsid w:val="007F28C0"/>
    <w:rsid w:val="007F67F2"/>
    <w:rsid w:val="008025D8"/>
    <w:rsid w:val="00803139"/>
    <w:rsid w:val="0080604D"/>
    <w:rsid w:val="008061D8"/>
    <w:rsid w:val="00813E4D"/>
    <w:rsid w:val="00816858"/>
    <w:rsid w:val="008174EF"/>
    <w:rsid w:val="00831677"/>
    <w:rsid w:val="008368B2"/>
    <w:rsid w:val="00837294"/>
    <w:rsid w:val="0084048C"/>
    <w:rsid w:val="0084225D"/>
    <w:rsid w:val="008479E6"/>
    <w:rsid w:val="00847CD9"/>
    <w:rsid w:val="00851465"/>
    <w:rsid w:val="00851B76"/>
    <w:rsid w:val="00864CC0"/>
    <w:rsid w:val="0086520B"/>
    <w:rsid w:val="00871D60"/>
    <w:rsid w:val="008743A1"/>
    <w:rsid w:val="00876A12"/>
    <w:rsid w:val="00885712"/>
    <w:rsid w:val="008857FB"/>
    <w:rsid w:val="00892A63"/>
    <w:rsid w:val="008944CD"/>
    <w:rsid w:val="008979B3"/>
    <w:rsid w:val="008A0F90"/>
    <w:rsid w:val="008A3A07"/>
    <w:rsid w:val="008A4BCA"/>
    <w:rsid w:val="008B0896"/>
    <w:rsid w:val="008B2131"/>
    <w:rsid w:val="008C0A18"/>
    <w:rsid w:val="008C0AB2"/>
    <w:rsid w:val="008C402D"/>
    <w:rsid w:val="008C43BF"/>
    <w:rsid w:val="008C525B"/>
    <w:rsid w:val="008D0005"/>
    <w:rsid w:val="008D4561"/>
    <w:rsid w:val="008D67D6"/>
    <w:rsid w:val="008E18C2"/>
    <w:rsid w:val="008E65A9"/>
    <w:rsid w:val="008F38CE"/>
    <w:rsid w:val="0090073F"/>
    <w:rsid w:val="00910CF6"/>
    <w:rsid w:val="00923D8E"/>
    <w:rsid w:val="00930B9B"/>
    <w:rsid w:val="0093338A"/>
    <w:rsid w:val="009356A7"/>
    <w:rsid w:val="009366C1"/>
    <w:rsid w:val="009407EC"/>
    <w:rsid w:val="00942813"/>
    <w:rsid w:val="009523AA"/>
    <w:rsid w:val="009525C0"/>
    <w:rsid w:val="00954C49"/>
    <w:rsid w:val="00955BD7"/>
    <w:rsid w:val="0096517E"/>
    <w:rsid w:val="009758DD"/>
    <w:rsid w:val="009809DF"/>
    <w:rsid w:val="00985F22"/>
    <w:rsid w:val="00991F3D"/>
    <w:rsid w:val="00993776"/>
    <w:rsid w:val="00993AE8"/>
    <w:rsid w:val="009964E8"/>
    <w:rsid w:val="00996F84"/>
    <w:rsid w:val="00997D30"/>
    <w:rsid w:val="009A0BB4"/>
    <w:rsid w:val="009A3B32"/>
    <w:rsid w:val="009A7E91"/>
    <w:rsid w:val="009B3290"/>
    <w:rsid w:val="009B45AF"/>
    <w:rsid w:val="009B5264"/>
    <w:rsid w:val="009B616F"/>
    <w:rsid w:val="009C591E"/>
    <w:rsid w:val="009D4274"/>
    <w:rsid w:val="009E08CD"/>
    <w:rsid w:val="009F5E00"/>
    <w:rsid w:val="00A0449C"/>
    <w:rsid w:val="00A05DE4"/>
    <w:rsid w:val="00A11239"/>
    <w:rsid w:val="00A154E9"/>
    <w:rsid w:val="00A17CBD"/>
    <w:rsid w:val="00A3290F"/>
    <w:rsid w:val="00A34B17"/>
    <w:rsid w:val="00A41336"/>
    <w:rsid w:val="00A44A77"/>
    <w:rsid w:val="00A460D2"/>
    <w:rsid w:val="00A47A73"/>
    <w:rsid w:val="00A617EB"/>
    <w:rsid w:val="00A674C7"/>
    <w:rsid w:val="00A705EF"/>
    <w:rsid w:val="00A7092C"/>
    <w:rsid w:val="00A8105B"/>
    <w:rsid w:val="00A8227A"/>
    <w:rsid w:val="00A82AF4"/>
    <w:rsid w:val="00A94BF4"/>
    <w:rsid w:val="00AA065E"/>
    <w:rsid w:val="00AA195C"/>
    <w:rsid w:val="00AB00D0"/>
    <w:rsid w:val="00AB2C39"/>
    <w:rsid w:val="00AB318E"/>
    <w:rsid w:val="00AC076B"/>
    <w:rsid w:val="00AC12C3"/>
    <w:rsid w:val="00AD474A"/>
    <w:rsid w:val="00AD61C0"/>
    <w:rsid w:val="00AF490B"/>
    <w:rsid w:val="00AF77C4"/>
    <w:rsid w:val="00B0282E"/>
    <w:rsid w:val="00B05DDA"/>
    <w:rsid w:val="00B07B7C"/>
    <w:rsid w:val="00B07D9F"/>
    <w:rsid w:val="00B11B6C"/>
    <w:rsid w:val="00B12DFD"/>
    <w:rsid w:val="00B140EB"/>
    <w:rsid w:val="00B14C9A"/>
    <w:rsid w:val="00B31E8E"/>
    <w:rsid w:val="00B33975"/>
    <w:rsid w:val="00B3704C"/>
    <w:rsid w:val="00B45BE2"/>
    <w:rsid w:val="00B51353"/>
    <w:rsid w:val="00B52EBE"/>
    <w:rsid w:val="00B52F47"/>
    <w:rsid w:val="00B61135"/>
    <w:rsid w:val="00B705A2"/>
    <w:rsid w:val="00B7535D"/>
    <w:rsid w:val="00B90FFA"/>
    <w:rsid w:val="00B94E3D"/>
    <w:rsid w:val="00B95493"/>
    <w:rsid w:val="00B954B1"/>
    <w:rsid w:val="00B96735"/>
    <w:rsid w:val="00BA0E5C"/>
    <w:rsid w:val="00BA1EF7"/>
    <w:rsid w:val="00BA6C78"/>
    <w:rsid w:val="00BB3106"/>
    <w:rsid w:val="00BB3B78"/>
    <w:rsid w:val="00BB6219"/>
    <w:rsid w:val="00BC08C5"/>
    <w:rsid w:val="00BC4233"/>
    <w:rsid w:val="00BD588A"/>
    <w:rsid w:val="00BE7817"/>
    <w:rsid w:val="00BF01A2"/>
    <w:rsid w:val="00BF34A6"/>
    <w:rsid w:val="00BF636A"/>
    <w:rsid w:val="00C21661"/>
    <w:rsid w:val="00C248D4"/>
    <w:rsid w:val="00C24BC0"/>
    <w:rsid w:val="00C27A2D"/>
    <w:rsid w:val="00C46409"/>
    <w:rsid w:val="00C4732A"/>
    <w:rsid w:val="00C474BB"/>
    <w:rsid w:val="00C52605"/>
    <w:rsid w:val="00C5280F"/>
    <w:rsid w:val="00C53493"/>
    <w:rsid w:val="00C6276B"/>
    <w:rsid w:val="00C65A6F"/>
    <w:rsid w:val="00C74F09"/>
    <w:rsid w:val="00C80A3E"/>
    <w:rsid w:val="00C87409"/>
    <w:rsid w:val="00C9250C"/>
    <w:rsid w:val="00C92AA5"/>
    <w:rsid w:val="00C93FB8"/>
    <w:rsid w:val="00C973E6"/>
    <w:rsid w:val="00CA2E25"/>
    <w:rsid w:val="00CA65FA"/>
    <w:rsid w:val="00CA773C"/>
    <w:rsid w:val="00CB15C0"/>
    <w:rsid w:val="00CB3DEA"/>
    <w:rsid w:val="00CB4532"/>
    <w:rsid w:val="00CB55CA"/>
    <w:rsid w:val="00CB7763"/>
    <w:rsid w:val="00CC0BE4"/>
    <w:rsid w:val="00CC7585"/>
    <w:rsid w:val="00CD3A2E"/>
    <w:rsid w:val="00CD5965"/>
    <w:rsid w:val="00CF2543"/>
    <w:rsid w:val="00CF4095"/>
    <w:rsid w:val="00CF5A96"/>
    <w:rsid w:val="00CF5D0F"/>
    <w:rsid w:val="00D006D0"/>
    <w:rsid w:val="00D04E7D"/>
    <w:rsid w:val="00D056E1"/>
    <w:rsid w:val="00D245EE"/>
    <w:rsid w:val="00D24D65"/>
    <w:rsid w:val="00D25164"/>
    <w:rsid w:val="00D3105B"/>
    <w:rsid w:val="00D3226D"/>
    <w:rsid w:val="00D37B5B"/>
    <w:rsid w:val="00D42F1C"/>
    <w:rsid w:val="00D46083"/>
    <w:rsid w:val="00D47961"/>
    <w:rsid w:val="00D5034B"/>
    <w:rsid w:val="00D537DB"/>
    <w:rsid w:val="00D55123"/>
    <w:rsid w:val="00D55E87"/>
    <w:rsid w:val="00D56D8B"/>
    <w:rsid w:val="00D62D17"/>
    <w:rsid w:val="00D6757D"/>
    <w:rsid w:val="00D7064D"/>
    <w:rsid w:val="00D711D1"/>
    <w:rsid w:val="00D740E9"/>
    <w:rsid w:val="00D7454B"/>
    <w:rsid w:val="00D814C1"/>
    <w:rsid w:val="00D814F8"/>
    <w:rsid w:val="00D82329"/>
    <w:rsid w:val="00D936E6"/>
    <w:rsid w:val="00D94496"/>
    <w:rsid w:val="00D948E2"/>
    <w:rsid w:val="00D950F3"/>
    <w:rsid w:val="00DA256E"/>
    <w:rsid w:val="00DA75A3"/>
    <w:rsid w:val="00DB18CA"/>
    <w:rsid w:val="00DB2F76"/>
    <w:rsid w:val="00DB5B15"/>
    <w:rsid w:val="00DB632D"/>
    <w:rsid w:val="00DC03BC"/>
    <w:rsid w:val="00DC5705"/>
    <w:rsid w:val="00DD1555"/>
    <w:rsid w:val="00DD1B77"/>
    <w:rsid w:val="00DE1A5A"/>
    <w:rsid w:val="00DE3C85"/>
    <w:rsid w:val="00DE3E09"/>
    <w:rsid w:val="00DE67F4"/>
    <w:rsid w:val="00E0039D"/>
    <w:rsid w:val="00E0360F"/>
    <w:rsid w:val="00E043E0"/>
    <w:rsid w:val="00E06F00"/>
    <w:rsid w:val="00E15C02"/>
    <w:rsid w:val="00E15D68"/>
    <w:rsid w:val="00E178BE"/>
    <w:rsid w:val="00E23C66"/>
    <w:rsid w:val="00E338ED"/>
    <w:rsid w:val="00E402E2"/>
    <w:rsid w:val="00E40B18"/>
    <w:rsid w:val="00E4328E"/>
    <w:rsid w:val="00E46483"/>
    <w:rsid w:val="00E467C7"/>
    <w:rsid w:val="00E64158"/>
    <w:rsid w:val="00E65248"/>
    <w:rsid w:val="00E65F85"/>
    <w:rsid w:val="00E66099"/>
    <w:rsid w:val="00E7193E"/>
    <w:rsid w:val="00E72161"/>
    <w:rsid w:val="00E770CF"/>
    <w:rsid w:val="00E84C71"/>
    <w:rsid w:val="00E86E0A"/>
    <w:rsid w:val="00E86F77"/>
    <w:rsid w:val="00E908C0"/>
    <w:rsid w:val="00E913C5"/>
    <w:rsid w:val="00EA0FDC"/>
    <w:rsid w:val="00EA2FCB"/>
    <w:rsid w:val="00EA314B"/>
    <w:rsid w:val="00EA3BB0"/>
    <w:rsid w:val="00EA42F2"/>
    <w:rsid w:val="00EB52E2"/>
    <w:rsid w:val="00EB7FB3"/>
    <w:rsid w:val="00ED16DD"/>
    <w:rsid w:val="00ED2F7E"/>
    <w:rsid w:val="00ED7122"/>
    <w:rsid w:val="00ED7715"/>
    <w:rsid w:val="00EE507B"/>
    <w:rsid w:val="00F0075B"/>
    <w:rsid w:val="00F012CF"/>
    <w:rsid w:val="00F1036D"/>
    <w:rsid w:val="00F112FA"/>
    <w:rsid w:val="00F13528"/>
    <w:rsid w:val="00F15E90"/>
    <w:rsid w:val="00F17107"/>
    <w:rsid w:val="00F222A2"/>
    <w:rsid w:val="00F237EA"/>
    <w:rsid w:val="00F23EBA"/>
    <w:rsid w:val="00F368BB"/>
    <w:rsid w:val="00F51BEE"/>
    <w:rsid w:val="00F57515"/>
    <w:rsid w:val="00F73364"/>
    <w:rsid w:val="00F747BD"/>
    <w:rsid w:val="00F75603"/>
    <w:rsid w:val="00F81724"/>
    <w:rsid w:val="00F8308B"/>
    <w:rsid w:val="00F84421"/>
    <w:rsid w:val="00F85AD0"/>
    <w:rsid w:val="00F915CD"/>
    <w:rsid w:val="00F9300C"/>
    <w:rsid w:val="00F93FED"/>
    <w:rsid w:val="00FA4CD8"/>
    <w:rsid w:val="00FA5994"/>
    <w:rsid w:val="00FA5F2D"/>
    <w:rsid w:val="00FA6371"/>
    <w:rsid w:val="00FA7DC9"/>
    <w:rsid w:val="00FC161F"/>
    <w:rsid w:val="00FC2598"/>
    <w:rsid w:val="00FC6D7D"/>
    <w:rsid w:val="00FD392F"/>
    <w:rsid w:val="00FE2C2E"/>
    <w:rsid w:val="00FE4382"/>
    <w:rsid w:val="00FF13EE"/>
    <w:rsid w:val="00FF3AE2"/>
    <w:rsid w:val="00FF3EFA"/>
    <w:rsid w:val="00FF5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FD7F6"/>
  <w15:docId w15:val="{EF6CAEE7-9716-4B1C-8281-80E35EC2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uiPriority w:val="9"/>
    <w:qFormat/>
    <w:pPr>
      <w:outlineLvl w:val="0"/>
    </w:pPr>
    <w:rPr>
      <w:rFonts w:ascii="Liberation Serif" w:eastAsia="NSimSun" w:hAnsi="Liberation Serif"/>
      <w:b/>
      <w:bCs/>
      <w:sz w:val="48"/>
      <w:szCs w:val="48"/>
    </w:rPr>
  </w:style>
  <w:style w:type="paragraph" w:styleId="Heading2">
    <w:name w:val="heading 2"/>
    <w:basedOn w:val="Normal"/>
    <w:next w:val="Normal"/>
    <w:link w:val="Heading2Char"/>
    <w:uiPriority w:val="9"/>
    <w:semiHidden/>
    <w:unhideWhenUsed/>
    <w:qFormat/>
    <w:rsid w:val="006E238A"/>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next w:val="Normal"/>
    <w:link w:val="Heading3Char"/>
    <w:uiPriority w:val="9"/>
    <w:semiHidden/>
    <w:unhideWhenUsed/>
    <w:qFormat/>
    <w:rsid w:val="006E238A"/>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Liberation Mono" w:hAnsi="Liberation Mono" w:cs="Liberation Mono"/>
      <w:sz w:val="20"/>
      <w:szCs w:val="20"/>
    </w:r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widowControl w:val="0"/>
      <w:suppressLineNumbers/>
    </w:pPr>
  </w:style>
  <w:style w:type="character" w:customStyle="1" w:styleId="BulletSymbols">
    <w:name w:val="Bullet Symbols"/>
    <w:rPr>
      <w:rFonts w:ascii="OpenSymbol" w:eastAsia="OpenSymbol" w:hAnsi="OpenSymbol" w:cs="OpenSymbol"/>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styleId="Emphasis">
    <w:name w:val="Emphasis"/>
    <w:uiPriority w:val="20"/>
    <w:qFormat/>
    <w:rPr>
      <w:i/>
      <w:iCs/>
    </w:rPr>
  </w:style>
  <w:style w:type="character" w:customStyle="1" w:styleId="VisitedInternetLink">
    <w:name w:val="Visited Internet Link"/>
    <w:rPr>
      <w:color w:val="800000"/>
      <w:u w:val="single"/>
    </w:rPr>
  </w:style>
  <w:style w:type="character" w:styleId="FootnoteReference">
    <w:name w:val="footnote reference"/>
    <w:basedOn w:val="DefaultParagraphFont"/>
    <w:uiPriority w:val="99"/>
    <w:semiHidden/>
    <w:unhideWhenUsed/>
    <w:rPr>
      <w:vertAlign w:val="superscript"/>
    </w:rPr>
  </w:style>
  <w:style w:type="paragraph" w:styleId="CommentText">
    <w:name w:val="annotation text"/>
    <w:basedOn w:val="Normal"/>
    <w:link w:val="CommentTextChar"/>
    <w:uiPriority w:val="99"/>
    <w:unhideWhenUsed/>
    <w:rPr>
      <w:rFonts w:cs="Mangal"/>
      <w:sz w:val="20"/>
      <w:szCs w:val="18"/>
    </w:rPr>
  </w:style>
  <w:style w:type="character" w:customStyle="1" w:styleId="CommentTextChar">
    <w:name w:val="Comment Text Char"/>
    <w:basedOn w:val="DefaultParagraphFont"/>
    <w:link w:val="CommentText"/>
    <w:uiPriority w:val="99"/>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A7DC9"/>
    <w:rPr>
      <w:b/>
      <w:bCs/>
    </w:rPr>
  </w:style>
  <w:style w:type="character" w:customStyle="1" w:styleId="CommentSubjectChar">
    <w:name w:val="Comment Subject Char"/>
    <w:basedOn w:val="CommentTextChar"/>
    <w:link w:val="CommentSubject"/>
    <w:uiPriority w:val="99"/>
    <w:semiHidden/>
    <w:rsid w:val="00FA7DC9"/>
    <w:rPr>
      <w:rFonts w:cs="Mangal"/>
      <w:b/>
      <w:bCs/>
      <w:sz w:val="20"/>
      <w:szCs w:val="18"/>
    </w:rPr>
  </w:style>
  <w:style w:type="paragraph" w:styleId="EndnoteText">
    <w:name w:val="endnote text"/>
    <w:basedOn w:val="Normal"/>
    <w:link w:val="EndnoteTextChar"/>
    <w:uiPriority w:val="99"/>
    <w:semiHidden/>
    <w:unhideWhenUsed/>
    <w:rsid w:val="00B07B7C"/>
    <w:rPr>
      <w:rFonts w:cs="Mangal"/>
      <w:sz w:val="20"/>
      <w:szCs w:val="18"/>
    </w:rPr>
  </w:style>
  <w:style w:type="character" w:customStyle="1" w:styleId="EndnoteTextChar">
    <w:name w:val="Endnote Text Char"/>
    <w:basedOn w:val="DefaultParagraphFont"/>
    <w:link w:val="EndnoteText"/>
    <w:uiPriority w:val="99"/>
    <w:semiHidden/>
    <w:rsid w:val="00B07B7C"/>
    <w:rPr>
      <w:rFonts w:cs="Mangal"/>
      <w:sz w:val="20"/>
      <w:szCs w:val="18"/>
    </w:rPr>
  </w:style>
  <w:style w:type="character" w:styleId="EndnoteReference">
    <w:name w:val="endnote reference"/>
    <w:basedOn w:val="DefaultParagraphFont"/>
    <w:uiPriority w:val="99"/>
    <w:semiHidden/>
    <w:unhideWhenUsed/>
    <w:rsid w:val="00B07B7C"/>
    <w:rPr>
      <w:vertAlign w:val="superscript"/>
    </w:rPr>
  </w:style>
  <w:style w:type="paragraph" w:styleId="FootnoteText">
    <w:name w:val="footnote text"/>
    <w:basedOn w:val="Normal"/>
    <w:link w:val="FootnoteTextChar"/>
    <w:uiPriority w:val="99"/>
    <w:unhideWhenUsed/>
    <w:rsid w:val="00B07B7C"/>
    <w:rPr>
      <w:rFonts w:cs="Mangal"/>
      <w:sz w:val="20"/>
      <w:szCs w:val="18"/>
    </w:rPr>
  </w:style>
  <w:style w:type="character" w:customStyle="1" w:styleId="FootnoteTextChar">
    <w:name w:val="Footnote Text Char"/>
    <w:basedOn w:val="DefaultParagraphFont"/>
    <w:link w:val="FootnoteText"/>
    <w:uiPriority w:val="99"/>
    <w:rsid w:val="00B07B7C"/>
    <w:rPr>
      <w:rFonts w:cs="Mangal"/>
      <w:sz w:val="20"/>
      <w:szCs w:val="18"/>
    </w:rPr>
  </w:style>
  <w:style w:type="paragraph" w:styleId="Revision">
    <w:name w:val="Revision"/>
    <w:hidden/>
    <w:uiPriority w:val="99"/>
    <w:semiHidden/>
    <w:rsid w:val="00BF01A2"/>
    <w:pPr>
      <w:suppressAutoHyphens w:val="0"/>
      <w:autoSpaceDN/>
      <w:textAlignment w:val="auto"/>
    </w:pPr>
    <w:rPr>
      <w:rFonts w:cs="Mangal"/>
      <w:szCs w:val="21"/>
    </w:rPr>
  </w:style>
  <w:style w:type="character" w:customStyle="1" w:styleId="Heading2Char">
    <w:name w:val="Heading 2 Char"/>
    <w:basedOn w:val="DefaultParagraphFont"/>
    <w:link w:val="Heading2"/>
    <w:uiPriority w:val="9"/>
    <w:semiHidden/>
    <w:rsid w:val="006E238A"/>
    <w:rPr>
      <w:rFonts w:asciiTheme="majorHAnsi" w:eastAsiaTheme="majorEastAsia" w:hAnsiTheme="majorHAnsi" w:cs="Mangal"/>
      <w:color w:val="2F5496" w:themeColor="accent1" w:themeShade="BF"/>
      <w:sz w:val="26"/>
      <w:szCs w:val="23"/>
    </w:rPr>
  </w:style>
  <w:style w:type="character" w:customStyle="1" w:styleId="Heading3Char">
    <w:name w:val="Heading 3 Char"/>
    <w:basedOn w:val="DefaultParagraphFont"/>
    <w:link w:val="Heading3"/>
    <w:uiPriority w:val="9"/>
    <w:semiHidden/>
    <w:rsid w:val="006E238A"/>
    <w:rPr>
      <w:rFonts w:asciiTheme="majorHAnsi" w:eastAsiaTheme="majorEastAsia" w:hAnsiTheme="majorHAnsi" w:cs="Mangal"/>
      <w:color w:val="1F3763" w:themeColor="accent1" w:themeShade="7F"/>
      <w:szCs w:val="21"/>
    </w:rPr>
  </w:style>
  <w:style w:type="character" w:styleId="Hyperlink">
    <w:name w:val="Hyperlink"/>
    <w:basedOn w:val="DefaultParagraphFont"/>
    <w:uiPriority w:val="99"/>
    <w:unhideWhenUsed/>
    <w:rsid w:val="0061711D"/>
    <w:rPr>
      <w:color w:val="0563C1" w:themeColor="hyperlink"/>
      <w:u w:val="single"/>
    </w:rPr>
  </w:style>
  <w:style w:type="character" w:styleId="UnresolvedMention">
    <w:name w:val="Unresolved Mention"/>
    <w:basedOn w:val="DefaultParagraphFont"/>
    <w:uiPriority w:val="99"/>
    <w:semiHidden/>
    <w:unhideWhenUsed/>
    <w:rsid w:val="00617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4501">
      <w:bodyDiv w:val="1"/>
      <w:marLeft w:val="0"/>
      <w:marRight w:val="0"/>
      <w:marTop w:val="0"/>
      <w:marBottom w:val="0"/>
      <w:divBdr>
        <w:top w:val="none" w:sz="0" w:space="0" w:color="auto"/>
        <w:left w:val="none" w:sz="0" w:space="0" w:color="auto"/>
        <w:bottom w:val="none" w:sz="0" w:space="0" w:color="auto"/>
        <w:right w:val="none" w:sz="0" w:space="0" w:color="auto"/>
      </w:divBdr>
    </w:div>
    <w:div w:id="342586628">
      <w:bodyDiv w:val="1"/>
      <w:marLeft w:val="0"/>
      <w:marRight w:val="0"/>
      <w:marTop w:val="0"/>
      <w:marBottom w:val="0"/>
      <w:divBdr>
        <w:top w:val="none" w:sz="0" w:space="0" w:color="auto"/>
        <w:left w:val="none" w:sz="0" w:space="0" w:color="auto"/>
        <w:bottom w:val="none" w:sz="0" w:space="0" w:color="auto"/>
        <w:right w:val="none" w:sz="0" w:space="0" w:color="auto"/>
      </w:divBdr>
    </w:div>
    <w:div w:id="416832196">
      <w:bodyDiv w:val="1"/>
      <w:marLeft w:val="0"/>
      <w:marRight w:val="0"/>
      <w:marTop w:val="0"/>
      <w:marBottom w:val="0"/>
      <w:divBdr>
        <w:top w:val="none" w:sz="0" w:space="0" w:color="auto"/>
        <w:left w:val="none" w:sz="0" w:space="0" w:color="auto"/>
        <w:bottom w:val="none" w:sz="0" w:space="0" w:color="auto"/>
        <w:right w:val="none" w:sz="0" w:space="0" w:color="auto"/>
      </w:divBdr>
    </w:div>
    <w:div w:id="647323612">
      <w:bodyDiv w:val="1"/>
      <w:marLeft w:val="0"/>
      <w:marRight w:val="0"/>
      <w:marTop w:val="0"/>
      <w:marBottom w:val="0"/>
      <w:divBdr>
        <w:top w:val="none" w:sz="0" w:space="0" w:color="auto"/>
        <w:left w:val="none" w:sz="0" w:space="0" w:color="auto"/>
        <w:bottom w:val="none" w:sz="0" w:space="0" w:color="auto"/>
        <w:right w:val="none" w:sz="0" w:space="0" w:color="auto"/>
      </w:divBdr>
    </w:div>
    <w:div w:id="682821026">
      <w:bodyDiv w:val="1"/>
      <w:marLeft w:val="0"/>
      <w:marRight w:val="0"/>
      <w:marTop w:val="0"/>
      <w:marBottom w:val="0"/>
      <w:divBdr>
        <w:top w:val="none" w:sz="0" w:space="0" w:color="auto"/>
        <w:left w:val="none" w:sz="0" w:space="0" w:color="auto"/>
        <w:bottom w:val="none" w:sz="0" w:space="0" w:color="auto"/>
        <w:right w:val="none" w:sz="0" w:space="0" w:color="auto"/>
      </w:divBdr>
    </w:div>
    <w:div w:id="779766272">
      <w:bodyDiv w:val="1"/>
      <w:marLeft w:val="0"/>
      <w:marRight w:val="0"/>
      <w:marTop w:val="0"/>
      <w:marBottom w:val="0"/>
      <w:divBdr>
        <w:top w:val="none" w:sz="0" w:space="0" w:color="auto"/>
        <w:left w:val="none" w:sz="0" w:space="0" w:color="auto"/>
        <w:bottom w:val="none" w:sz="0" w:space="0" w:color="auto"/>
        <w:right w:val="none" w:sz="0" w:space="0" w:color="auto"/>
      </w:divBdr>
    </w:div>
    <w:div w:id="1362704266">
      <w:bodyDiv w:val="1"/>
      <w:marLeft w:val="0"/>
      <w:marRight w:val="0"/>
      <w:marTop w:val="0"/>
      <w:marBottom w:val="0"/>
      <w:divBdr>
        <w:top w:val="none" w:sz="0" w:space="0" w:color="auto"/>
        <w:left w:val="none" w:sz="0" w:space="0" w:color="auto"/>
        <w:bottom w:val="none" w:sz="0" w:space="0" w:color="auto"/>
        <w:right w:val="none" w:sz="0" w:space="0" w:color="auto"/>
      </w:divBdr>
    </w:div>
    <w:div w:id="1432778509">
      <w:bodyDiv w:val="1"/>
      <w:marLeft w:val="0"/>
      <w:marRight w:val="0"/>
      <w:marTop w:val="0"/>
      <w:marBottom w:val="0"/>
      <w:divBdr>
        <w:top w:val="none" w:sz="0" w:space="0" w:color="auto"/>
        <w:left w:val="none" w:sz="0" w:space="0" w:color="auto"/>
        <w:bottom w:val="none" w:sz="0" w:space="0" w:color="auto"/>
        <w:right w:val="none" w:sz="0" w:space="0" w:color="auto"/>
      </w:divBdr>
    </w:div>
    <w:div w:id="1533884030">
      <w:bodyDiv w:val="1"/>
      <w:marLeft w:val="0"/>
      <w:marRight w:val="0"/>
      <w:marTop w:val="0"/>
      <w:marBottom w:val="0"/>
      <w:divBdr>
        <w:top w:val="none" w:sz="0" w:space="0" w:color="auto"/>
        <w:left w:val="none" w:sz="0" w:space="0" w:color="auto"/>
        <w:bottom w:val="none" w:sz="0" w:space="0" w:color="auto"/>
        <w:right w:val="none" w:sz="0" w:space="0" w:color="auto"/>
      </w:divBdr>
    </w:div>
    <w:div w:id="1708219207">
      <w:bodyDiv w:val="1"/>
      <w:marLeft w:val="0"/>
      <w:marRight w:val="0"/>
      <w:marTop w:val="0"/>
      <w:marBottom w:val="0"/>
      <w:divBdr>
        <w:top w:val="none" w:sz="0" w:space="0" w:color="auto"/>
        <w:left w:val="none" w:sz="0" w:space="0" w:color="auto"/>
        <w:bottom w:val="none" w:sz="0" w:space="0" w:color="auto"/>
        <w:right w:val="none" w:sz="0" w:space="0" w:color="auto"/>
      </w:divBdr>
    </w:div>
    <w:div w:id="1711802036">
      <w:bodyDiv w:val="1"/>
      <w:marLeft w:val="0"/>
      <w:marRight w:val="0"/>
      <w:marTop w:val="0"/>
      <w:marBottom w:val="0"/>
      <w:divBdr>
        <w:top w:val="none" w:sz="0" w:space="0" w:color="auto"/>
        <w:left w:val="none" w:sz="0" w:space="0" w:color="auto"/>
        <w:bottom w:val="none" w:sz="0" w:space="0" w:color="auto"/>
        <w:right w:val="none" w:sz="0" w:space="0" w:color="auto"/>
      </w:divBdr>
    </w:div>
    <w:div w:id="1893300437">
      <w:bodyDiv w:val="1"/>
      <w:marLeft w:val="0"/>
      <w:marRight w:val="0"/>
      <w:marTop w:val="0"/>
      <w:marBottom w:val="0"/>
      <w:divBdr>
        <w:top w:val="none" w:sz="0" w:space="0" w:color="auto"/>
        <w:left w:val="none" w:sz="0" w:space="0" w:color="auto"/>
        <w:bottom w:val="none" w:sz="0" w:space="0" w:color="auto"/>
        <w:right w:val="none" w:sz="0" w:space="0" w:color="auto"/>
      </w:divBdr>
    </w:div>
    <w:div w:id="209139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ppr.org/research/publications/trust-issues" TargetMode="External"/><Relationship Id="rId3" Type="http://schemas.openxmlformats.org/officeDocument/2006/relationships/hyperlink" Target="https://www.theguardian.com/commentisfree/2022/oct/13/boris-johnson-covid-laws-rights-decree-two-years-democracy" TargetMode="External"/><Relationship Id="rId7" Type="http://schemas.openxmlformats.org/officeDocument/2006/relationships/hyperlink" Target="https://theintercept.com/2016/01/06/why-its-scary-that-the-mall-of-america-can-crush-dissent/" TargetMode="External"/><Relationship Id="rId2" Type="http://schemas.openxmlformats.org/officeDocument/2006/relationships/hyperlink" Target="https://ukhumanrightsblog.com/2012/11/19/a-war-on-judicial-review/" TargetMode="External"/><Relationship Id="rId1" Type="http://schemas.openxmlformats.org/officeDocument/2006/relationships/hyperlink" Target="https://www.theguardian.com/politics/2012/nov/19/david-cameron-clampdown-judicial-review" TargetMode="External"/><Relationship Id="rId6" Type="http://schemas.openxmlformats.org/officeDocument/2006/relationships/hyperlink" Target="https://www.theguardian.com/cities/2015/aug/04/pops-privately-owned-public-space-cities-direct-action" TargetMode="External"/><Relationship Id="rId5" Type="http://schemas.openxmlformats.org/officeDocument/2006/relationships/hyperlink" Target="https://uwe-repository.worktribe.com/output/1433865/a-literature-review-on-the-privatisation-of-public-space" TargetMode="External"/><Relationship Id="rId4" Type="http://schemas.openxmlformats.org/officeDocument/2006/relationships/hyperlink" Target="https://metropolitics.org/The-Right-to-Public-Spa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B8AD-5C80-4CED-B08F-7C24C4BE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3765</Words>
  <Characters>21465</Characters>
  <Application>Microsoft Office Word</Application>
  <DocSecurity>0</DocSecurity>
  <Lines>178</Lines>
  <Paragraphs>50</Paragraphs>
  <ScaleCrop>false</ScaleCrop>
  <Company/>
  <LinksUpToDate>false</LinksUpToDate>
  <CharactersWithSpaces>25180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MAY (Student)</cp:lastModifiedBy>
  <cp:revision>118</cp:revision>
  <dcterms:created xsi:type="dcterms:W3CDTF">2023-01-20T17:32:00Z</dcterms:created>
  <dcterms:modified xsi:type="dcterms:W3CDTF">2026-02-21T10:20:00Z</dcterms:modified>
</cp:coreProperties>
</file>